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6D54C" w14:textId="430B0570" w:rsidR="009F2891" w:rsidRPr="007C73DE" w:rsidRDefault="00123FD0">
      <w:pPr>
        <w:rPr>
          <w:b/>
          <w:sz w:val="28"/>
          <w:szCs w:val="28"/>
          <w:lang w:val="es-ES"/>
        </w:rPr>
      </w:pPr>
      <w:r w:rsidRPr="007C73DE">
        <w:rPr>
          <w:b/>
          <w:sz w:val="28"/>
          <w:szCs w:val="28"/>
          <w:lang w:val="es-ES"/>
        </w:rPr>
        <w:t xml:space="preserve">PARA Y ANOTA: </w:t>
      </w:r>
      <w:r w:rsidR="00E649CE">
        <w:rPr>
          <w:b/>
          <w:sz w:val="28"/>
          <w:szCs w:val="28"/>
          <w:lang w:val="es-ES"/>
        </w:rPr>
        <w:t xml:space="preserve">EL ASCENSO DE </w:t>
      </w:r>
      <w:r w:rsidRPr="007C73DE">
        <w:rPr>
          <w:b/>
          <w:sz w:val="28"/>
          <w:szCs w:val="28"/>
          <w:lang w:val="es-ES"/>
        </w:rPr>
        <w:t>L</w:t>
      </w:r>
      <w:r w:rsidR="00E649CE">
        <w:rPr>
          <w:b/>
          <w:sz w:val="28"/>
          <w:szCs w:val="28"/>
          <w:lang w:val="es-ES"/>
        </w:rPr>
        <w:t>A</w:t>
      </w:r>
      <w:r w:rsidRPr="007C73DE">
        <w:rPr>
          <w:b/>
          <w:sz w:val="28"/>
          <w:szCs w:val="28"/>
          <w:lang w:val="es-ES"/>
        </w:rPr>
        <w:t xml:space="preserve">S </w:t>
      </w:r>
      <w:r w:rsidR="00E649CE">
        <w:rPr>
          <w:b/>
          <w:sz w:val="28"/>
          <w:szCs w:val="28"/>
          <w:lang w:val="es-ES"/>
        </w:rPr>
        <w:t>ESCUELAS</w:t>
      </w:r>
      <w:r w:rsidRPr="007C73DE">
        <w:rPr>
          <w:b/>
          <w:sz w:val="28"/>
          <w:szCs w:val="28"/>
          <w:lang w:val="es-ES"/>
        </w:rPr>
        <w:t xml:space="preserve"> Y UNIVERSIDADES HISTÓRICAMENTE NEGR</w:t>
      </w:r>
      <w:r w:rsidR="00E649CE">
        <w:rPr>
          <w:b/>
          <w:sz w:val="28"/>
          <w:szCs w:val="28"/>
          <w:lang w:val="es-ES"/>
        </w:rPr>
        <w:t>A</w:t>
      </w:r>
      <w:r w:rsidRPr="007C73DE">
        <w:rPr>
          <w:b/>
          <w:sz w:val="28"/>
          <w:szCs w:val="28"/>
          <w:lang w:val="es-ES"/>
        </w:rPr>
        <w:t>S</w:t>
      </w:r>
    </w:p>
    <w:p w14:paraId="73E16D11" w14:textId="6E365952" w:rsidR="009F2891" w:rsidRPr="007C73DE" w:rsidRDefault="006D1109">
      <w:pPr>
        <w:pStyle w:val="Heading3"/>
        <w:rPr>
          <w:b/>
          <w:sz w:val="22"/>
          <w:szCs w:val="22"/>
          <w:lang w:val="es-ES"/>
        </w:rPr>
      </w:pPr>
      <w:bookmarkStart w:id="0" w:name="_heading=h.hddt7gpl292c" w:colFirst="0" w:colLast="0"/>
      <w:bookmarkEnd w:id="0"/>
      <w:r w:rsidRPr="007C73DE">
        <w:rPr>
          <w:b/>
          <w:lang w:val="es-ES"/>
        </w:rPr>
        <w:t xml:space="preserve">Lee el siguiente artículo, pausando para resumir lo aprendido después de cada sección. </w:t>
      </w:r>
    </w:p>
    <w:p w14:paraId="2A2228AD" w14:textId="395D5F46" w:rsidR="009F2891" w:rsidRPr="007C73DE" w:rsidRDefault="00C420C0" w:rsidP="00C420C0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L</w:t>
      </w:r>
      <w:r w:rsidR="00FF09C6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</w:t>
      </w:r>
      <w:r w:rsidR="00FF09C6">
        <w:rPr>
          <w:sz w:val="22"/>
          <w:szCs w:val="22"/>
          <w:lang w:val="es-ES"/>
        </w:rPr>
        <w:t>escuelas</w:t>
      </w:r>
      <w:r w:rsidRPr="007C73DE">
        <w:rPr>
          <w:sz w:val="22"/>
          <w:szCs w:val="22"/>
          <w:lang w:val="es-ES"/>
        </w:rPr>
        <w:t xml:space="preserve"> y universidades históricamente negr</w:t>
      </w:r>
      <w:r w:rsidR="00FF09C6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>s (HBCU) son instituciones públicas y privadas creadas antes de la Ley de Derechos Civiles de 1964 en Estados Unidos. Desde su creación, l</w:t>
      </w:r>
      <w:r w:rsidR="00FF09C6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HBCU proporcionaron a los negros el acceso a la educación que se les negó durante la esclavitud y la segregación. Las instituciones también proporcionaron un espacio seguro para aprender, descubrir y construir una comunidad. </w:t>
      </w:r>
    </w:p>
    <w:p w14:paraId="7B7F464B" w14:textId="2C7A9CF2" w:rsidR="009F2891" w:rsidRPr="007C73DE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Aunque las HBCU representan el 3% de las instituciones académicas de Estados Unidos, estas escuelas transformadoras desempeñan un papel integral en la reducción de la brecha de oportunidades dentro de la educación superior. Estas instituciones han producido y siguen produciendo algunos de los pioneros más influyentes de los grupos étnicos minoritarios, consolidando su importancia en el mundo académico.   </w:t>
      </w:r>
    </w:p>
    <w:p w14:paraId="5CB89618" w14:textId="4385D96A" w:rsidR="009F2891" w:rsidRPr="007C73DE" w:rsidRDefault="00D03A18">
      <w:pPr>
        <w:pStyle w:val="Heading1"/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Por qué existen las HBCU</w:t>
      </w:r>
    </w:p>
    <w:p w14:paraId="3062F175" w14:textId="75CE5C76" w:rsidR="009F2891" w:rsidRPr="007C73DE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Antes de la abolición de la esclavitud en 1865, las leyes contra la alfabetización impedían a los negros esclavizados y libres obtener una educación. Estas leyes existían porque los </w:t>
      </w:r>
      <w:r w:rsidR="005A06C6">
        <w:rPr>
          <w:sz w:val="22"/>
          <w:szCs w:val="22"/>
          <w:lang w:val="es-ES"/>
        </w:rPr>
        <w:t>a</w:t>
      </w:r>
      <w:r w:rsidR="00876037">
        <w:rPr>
          <w:sz w:val="22"/>
          <w:szCs w:val="22"/>
          <w:lang w:val="es-ES"/>
        </w:rPr>
        <w:t>m</w:t>
      </w:r>
      <w:r w:rsidR="005A06C6">
        <w:rPr>
          <w:sz w:val="22"/>
          <w:szCs w:val="22"/>
          <w:lang w:val="es-ES"/>
        </w:rPr>
        <w:t>os</w:t>
      </w:r>
      <w:r w:rsidRPr="007C73DE">
        <w:rPr>
          <w:sz w:val="22"/>
          <w:szCs w:val="22"/>
          <w:lang w:val="es-ES"/>
        </w:rPr>
        <w:t xml:space="preserve"> y los </w:t>
      </w:r>
      <w:r w:rsidR="00EF7CE6" w:rsidRPr="007C73DE">
        <w:rPr>
          <w:sz w:val="22"/>
          <w:szCs w:val="22"/>
          <w:lang w:val="es-ES"/>
        </w:rPr>
        <w:t>anti abolicionistas</w:t>
      </w:r>
      <w:r w:rsidRPr="007C73DE">
        <w:rPr>
          <w:sz w:val="22"/>
          <w:szCs w:val="22"/>
          <w:lang w:val="es-ES"/>
        </w:rPr>
        <w:t xml:space="preserve"> temían que</w:t>
      </w:r>
      <w:r w:rsidR="00562751">
        <w:rPr>
          <w:sz w:val="22"/>
          <w:szCs w:val="22"/>
          <w:lang w:val="es-ES"/>
        </w:rPr>
        <w:t>,</w:t>
      </w:r>
      <w:r w:rsidRPr="007C73DE">
        <w:rPr>
          <w:sz w:val="22"/>
          <w:szCs w:val="22"/>
          <w:lang w:val="es-ES"/>
        </w:rPr>
        <w:t xml:space="preserve"> si las personas esclavizadas y libres se alfabetizaban, ya no podrían controlarlas. Sin ese control, su economía, que se basaba en el trabajo de los esclavos, se derrumbaría.</w:t>
      </w:r>
    </w:p>
    <w:p w14:paraId="5ED5EE11" w14:textId="29B30688" w:rsidR="009F2891" w:rsidRPr="007C73DE" w:rsidRDefault="00D03A18">
      <w:pPr>
        <w:spacing w:line="240" w:lineRule="auto"/>
        <w:rPr>
          <w:sz w:val="20"/>
          <w:szCs w:val="20"/>
          <w:lang w:val="es-ES"/>
        </w:rPr>
      </w:pPr>
      <w:r w:rsidRPr="007C73DE">
        <w:rPr>
          <w:sz w:val="22"/>
          <w:szCs w:val="22"/>
          <w:lang w:val="es-ES"/>
        </w:rPr>
        <w:t>Aunque a las personas libres se les permitía asistir a las universidades de los estados que habían abolido la esclavitud, seguían enfrentándose a</w:t>
      </w:r>
      <w:r w:rsidR="00855AFA">
        <w:rPr>
          <w:sz w:val="22"/>
          <w:szCs w:val="22"/>
          <w:lang w:val="es-ES"/>
        </w:rPr>
        <w:t xml:space="preserve">l </w:t>
      </w:r>
      <w:r w:rsidRPr="007C73DE">
        <w:rPr>
          <w:sz w:val="22"/>
          <w:szCs w:val="22"/>
          <w:lang w:val="es-ES"/>
        </w:rPr>
        <w:t>racismo y discriminación de sus compañeros blancos. A los estudiantes negros tampoco les iba bien en las instituciones blancas porque había importantes lagunas en sus conocimientos y en su preparación para la universidad. </w:t>
      </w:r>
    </w:p>
    <w:tbl>
      <w:tblPr>
        <w:tblStyle w:val="a0"/>
        <w:tblW w:w="103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9000"/>
      </w:tblGrid>
      <w:tr w:rsidR="009F2891" w:rsidRPr="007C73DE" w14:paraId="0D8DA9E2" w14:textId="77777777">
        <w:trPr>
          <w:trHeight w:val="3030"/>
        </w:trPr>
        <w:tc>
          <w:tcPr>
            <w:tcW w:w="13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F6D7" w14:textId="77777777" w:rsidR="009F2891" w:rsidRPr="007C73DE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noProof/>
                <w:lang w:val="es-ES"/>
              </w:rPr>
              <w:drawing>
                <wp:anchor distT="0" distB="0" distL="0" distR="0" simplePos="0" relativeHeight="251658240" behindDoc="0" locked="0" layoutInCell="1" hidden="0" allowOverlap="1" wp14:anchorId="55BCEF1C" wp14:editId="4C2DF90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2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68D4" w14:textId="34C8F3A9" w:rsidR="009F2891" w:rsidRPr="007C73DE" w:rsidRDefault="00123FD0">
            <w:pPr>
              <w:widowControl w:val="0"/>
              <w:spacing w:after="0" w:line="240" w:lineRule="auto"/>
              <w:rPr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b/>
                <w:i/>
                <w:color w:val="3E5C61"/>
                <w:sz w:val="28"/>
                <w:szCs w:val="28"/>
                <w:lang w:val="es-ES"/>
              </w:rPr>
              <w:t xml:space="preserve">Para y anota </w:t>
            </w:r>
          </w:p>
          <w:p w14:paraId="00CE54E0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069AD046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C34B810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0D8630B7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0078A1C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C4A45C3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86331C3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107903A6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</w:tc>
      </w:tr>
    </w:tbl>
    <w:p w14:paraId="0EBB0DE2" w14:textId="02904A23" w:rsidR="009F2891" w:rsidRPr="007C73DE" w:rsidRDefault="00D03A18">
      <w:pPr>
        <w:pStyle w:val="Heading1"/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El crecimiento de las HBC</w:t>
      </w:r>
      <w:r w:rsidR="00562751">
        <w:rPr>
          <w:sz w:val="22"/>
          <w:szCs w:val="22"/>
          <w:lang w:val="es-ES"/>
        </w:rPr>
        <w:t>U</w:t>
      </w:r>
      <w:r w:rsidRPr="007C73DE">
        <w:rPr>
          <w:sz w:val="22"/>
          <w:szCs w:val="22"/>
          <w:lang w:val="es-ES"/>
        </w:rPr>
        <w:t>  </w:t>
      </w:r>
    </w:p>
    <w:p w14:paraId="51A3F809" w14:textId="77777777" w:rsidR="0064302B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Viendo la necesidad y la oportunidad de una reforma, el filántropo cuáquero Richard Humphreys fundó el Instituto para Jóvenes de Color en </w:t>
      </w:r>
      <w:proofErr w:type="spellStart"/>
      <w:r w:rsidRPr="007C73DE">
        <w:rPr>
          <w:sz w:val="22"/>
          <w:szCs w:val="22"/>
          <w:lang w:val="es-ES"/>
        </w:rPr>
        <w:t>Cheyney</w:t>
      </w:r>
      <w:proofErr w:type="spellEnd"/>
      <w:r w:rsidRPr="007C73DE">
        <w:rPr>
          <w:sz w:val="22"/>
          <w:szCs w:val="22"/>
          <w:lang w:val="es-ES"/>
        </w:rPr>
        <w:t xml:space="preserve">, Pensilvania, en 1837. Quería crear una institución para que los afroamericanos que </w:t>
      </w:r>
      <w:r w:rsidR="0064302B">
        <w:rPr>
          <w:sz w:val="22"/>
          <w:szCs w:val="22"/>
          <w:lang w:val="es-ES"/>
        </w:rPr>
        <w:t>previamente</w:t>
      </w:r>
      <w:r w:rsidRPr="007C73DE">
        <w:rPr>
          <w:sz w:val="22"/>
          <w:szCs w:val="22"/>
          <w:lang w:val="es-ES"/>
        </w:rPr>
        <w:t xml:space="preserve"> esclavizados aprendieran habilidades básicas como la lectura, la escritura y las matemáticas, de modo que pudieran estar preparados para el mundo al que se incorporaban como personas libres. El Instituto acabó convirtiéndose en la Universidad </w:t>
      </w:r>
      <w:proofErr w:type="spellStart"/>
      <w:r w:rsidRPr="007C73DE">
        <w:rPr>
          <w:sz w:val="22"/>
          <w:szCs w:val="22"/>
          <w:lang w:val="es-ES"/>
        </w:rPr>
        <w:t>Cheyney</w:t>
      </w:r>
      <w:proofErr w:type="spellEnd"/>
      <w:r w:rsidRPr="007C73DE">
        <w:rPr>
          <w:sz w:val="22"/>
          <w:szCs w:val="22"/>
          <w:lang w:val="es-ES"/>
        </w:rPr>
        <w:t xml:space="preserve"> de Pensilvania, la primera HBCU.    </w:t>
      </w:r>
    </w:p>
    <w:p w14:paraId="42A20F13" w14:textId="5149BE76" w:rsidR="009F2891" w:rsidRPr="007C73DE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lastRenderedPageBreak/>
        <w:t xml:space="preserve">Poco a poco se fueron estableciendo más universidades, con una gran oleada de nuevas instituciones que surgieron tras la aprobación de la Segunda Ley Morrill de 1890. Esta ley obligaba a los estados que apoyaban la segregación racial en las escuelas a crear y financiar instituciones públicas para los estudiantes negros. Las escuelas que atendían a las comunidades negras se enfrentaban a muchos obstáculos, la financiación y el acceso a recursos </w:t>
      </w:r>
      <w:r w:rsidR="00EF1DF9">
        <w:rPr>
          <w:sz w:val="22"/>
          <w:szCs w:val="22"/>
          <w:lang w:val="es-ES"/>
        </w:rPr>
        <w:t xml:space="preserve">siendo </w:t>
      </w:r>
      <w:r w:rsidRPr="007C73DE">
        <w:rPr>
          <w:sz w:val="22"/>
          <w:szCs w:val="22"/>
          <w:lang w:val="es-ES"/>
        </w:rPr>
        <w:t>un</w:t>
      </w:r>
      <w:r w:rsidR="00EF1DF9">
        <w:rPr>
          <w:sz w:val="22"/>
          <w:szCs w:val="22"/>
          <w:lang w:val="es-ES"/>
        </w:rPr>
        <w:t>as</w:t>
      </w:r>
      <w:r w:rsidRPr="007C73DE">
        <w:rPr>
          <w:sz w:val="22"/>
          <w:szCs w:val="22"/>
          <w:lang w:val="es-ES"/>
        </w:rPr>
        <w:t xml:space="preserve"> de </w:t>
      </w:r>
      <w:r w:rsidR="00EF1DF9">
        <w:rPr>
          <w:sz w:val="22"/>
          <w:szCs w:val="22"/>
          <w:lang w:val="es-ES"/>
        </w:rPr>
        <w:t>las</w:t>
      </w:r>
      <w:r w:rsidRPr="007C73DE">
        <w:rPr>
          <w:sz w:val="22"/>
          <w:szCs w:val="22"/>
          <w:lang w:val="es-ES"/>
        </w:rPr>
        <w:t xml:space="preserve"> barreras</w:t>
      </w:r>
      <w:r w:rsidR="00EF1DF9">
        <w:rPr>
          <w:sz w:val="22"/>
          <w:szCs w:val="22"/>
          <w:lang w:val="es-ES"/>
        </w:rPr>
        <w:t xml:space="preserve"> principales</w:t>
      </w:r>
      <w:r w:rsidRPr="007C73DE">
        <w:rPr>
          <w:sz w:val="22"/>
          <w:szCs w:val="22"/>
          <w:lang w:val="es-ES"/>
        </w:rPr>
        <w:t>. Este aumento de financiación hizo que un mayor número de negros asistiera a la universidad y, por tanto, que se necesitaran más escuelas.</w:t>
      </w:r>
    </w:p>
    <w:p w14:paraId="5E291B8D" w14:textId="151C84BE" w:rsidR="009F2891" w:rsidRPr="007C73DE" w:rsidRDefault="00D03A18">
      <w:pPr>
        <w:spacing w:line="240" w:lineRule="auto"/>
        <w:rPr>
          <w:sz w:val="20"/>
          <w:szCs w:val="20"/>
          <w:lang w:val="es-ES"/>
        </w:rPr>
      </w:pPr>
      <w:r w:rsidRPr="007C73DE">
        <w:rPr>
          <w:sz w:val="22"/>
          <w:szCs w:val="22"/>
          <w:lang w:val="es-ES"/>
        </w:rPr>
        <w:t>Incluso después de que la segregación terminara en 1964, se abrieron instituciones predominantemente negras (PBI) con la intención de utilizar la educación para mejorar la situación económica y social de los negros. Las PBI se consideran ahora HBCU, ya que los términos son intercambiables. En la actualidad, hay 107 HBCU en todo Estados Unidos.  </w:t>
      </w:r>
    </w:p>
    <w:tbl>
      <w:tblPr>
        <w:tblStyle w:val="a1"/>
        <w:tblW w:w="1009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775"/>
      </w:tblGrid>
      <w:tr w:rsidR="009F2891" w:rsidRPr="007C73DE" w14:paraId="4AAA74E2" w14:textId="77777777">
        <w:trPr>
          <w:trHeight w:val="3030"/>
        </w:trPr>
        <w:tc>
          <w:tcPr>
            <w:tcW w:w="13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CD48" w14:textId="77777777" w:rsidR="009F2891" w:rsidRPr="007C73DE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noProof/>
                <w:lang w:val="es-ES"/>
              </w:rPr>
              <w:drawing>
                <wp:anchor distT="0" distB="0" distL="0" distR="0" simplePos="0" relativeHeight="251659264" behindDoc="0" locked="0" layoutInCell="1" hidden="0" allowOverlap="1" wp14:anchorId="1AB6BAE3" wp14:editId="6F2C654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3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33EC" w14:textId="3DC72859" w:rsidR="009F2891" w:rsidRPr="007C73DE" w:rsidRDefault="00123FD0">
            <w:pPr>
              <w:widowControl w:val="0"/>
              <w:spacing w:after="0" w:line="240" w:lineRule="auto"/>
              <w:rPr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b/>
                <w:i/>
                <w:color w:val="3E5C61"/>
                <w:sz w:val="28"/>
                <w:szCs w:val="28"/>
                <w:lang w:val="es-ES"/>
              </w:rPr>
              <w:t xml:space="preserve">Para y anota </w:t>
            </w:r>
          </w:p>
          <w:p w14:paraId="1586CCBD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F6926A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2FFBE2A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D3202F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32A7CA3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A049057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4C2251F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5BAE5973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</w:tc>
      </w:tr>
    </w:tbl>
    <w:p w14:paraId="0852CF5B" w14:textId="5AA64602" w:rsidR="009F2891" w:rsidRPr="007C73DE" w:rsidRDefault="00275731">
      <w:pPr>
        <w:pStyle w:val="Heading1"/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El impacto de l</w:t>
      </w:r>
      <w:r w:rsidR="00C05485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HBCU </w:t>
      </w:r>
      <w:r w:rsidR="00610235">
        <w:rPr>
          <w:sz w:val="22"/>
          <w:szCs w:val="22"/>
          <w:lang w:val="es-ES"/>
        </w:rPr>
        <w:t>hoy en día</w:t>
      </w:r>
      <w:r w:rsidRPr="007C73DE">
        <w:rPr>
          <w:sz w:val="22"/>
          <w:szCs w:val="22"/>
          <w:lang w:val="es-ES"/>
        </w:rPr>
        <w:t xml:space="preserve">    </w:t>
      </w:r>
    </w:p>
    <w:p w14:paraId="6BE993F2" w14:textId="6E122CC7" w:rsidR="009F2891" w:rsidRPr="007C73DE" w:rsidRDefault="00275731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Aunque l</w:t>
      </w:r>
      <w:r w:rsidR="00C05485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>s HBCU ya no son la única vía de acceso a la educación superior para los afrodescendientes, debido a la Ley de Derechos Civiles de 1964, los estudiantes negros siguen asistiendo a ellos en un número cada vez mayor. L</w:t>
      </w:r>
      <w:r w:rsidR="00C05485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HBCU siguen siendo un refugio para que los estudiantes </w:t>
      </w:r>
      <w:r w:rsidR="00C05485">
        <w:rPr>
          <w:sz w:val="22"/>
          <w:szCs w:val="22"/>
          <w:lang w:val="es-ES"/>
        </w:rPr>
        <w:t>aprendan más de</w:t>
      </w:r>
      <w:r w:rsidRPr="007C73DE">
        <w:rPr>
          <w:sz w:val="22"/>
          <w:szCs w:val="22"/>
          <w:lang w:val="es-ES"/>
        </w:rPr>
        <w:t xml:space="preserve"> su herencia cultural y destaquen académicamente sin miedo a la discriminación. </w:t>
      </w:r>
    </w:p>
    <w:p w14:paraId="7ADDAC76" w14:textId="68991A80" w:rsidR="009F2891" w:rsidRPr="007C73DE" w:rsidRDefault="00E35059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Ya sea por los innovadores programas STEM y de</w:t>
      </w:r>
      <w:r w:rsidR="00882047">
        <w:rPr>
          <w:sz w:val="22"/>
          <w:szCs w:val="22"/>
          <w:lang w:val="es-ES"/>
        </w:rPr>
        <w:t xml:space="preserve"> las humanidades</w:t>
      </w:r>
      <w:r w:rsidRPr="007C73DE">
        <w:rPr>
          <w:sz w:val="22"/>
          <w:szCs w:val="22"/>
          <w:lang w:val="es-ES"/>
        </w:rPr>
        <w:t>, el bajo coste de las matrículas, el ambiente dinámico o la gran diversidad de estudiantes y profesores, los estudiantes buscan en las HBCU una educación de calidad y una experiencia cultural reflexiva. Las instituciones atraen incluso a estudiantes de otros orígenes étnicos. En 2018, los estudiantes no negros representaban el 24% de la matrícula en las HBCU, en comparación con el 15% en 1976. </w:t>
      </w:r>
    </w:p>
    <w:p w14:paraId="252E2D52" w14:textId="207D9642" w:rsidR="009F2891" w:rsidRPr="007C73DE" w:rsidRDefault="00E35059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La creciente matrícula </w:t>
      </w:r>
      <w:r w:rsidR="00CC6A89">
        <w:rPr>
          <w:sz w:val="22"/>
          <w:szCs w:val="22"/>
          <w:lang w:val="es-ES"/>
        </w:rPr>
        <w:t xml:space="preserve">diversa </w:t>
      </w:r>
      <w:r w:rsidRPr="007C73DE">
        <w:rPr>
          <w:sz w:val="22"/>
          <w:szCs w:val="22"/>
          <w:lang w:val="es-ES"/>
        </w:rPr>
        <w:t>de estudiantes</w:t>
      </w:r>
      <w:r w:rsidR="00CC6A89">
        <w:rPr>
          <w:sz w:val="22"/>
          <w:szCs w:val="22"/>
          <w:lang w:val="es-ES"/>
        </w:rPr>
        <w:t xml:space="preserve"> de diferentes</w:t>
      </w:r>
      <w:r w:rsidRPr="007C73DE">
        <w:rPr>
          <w:sz w:val="22"/>
          <w:szCs w:val="22"/>
          <w:lang w:val="es-ES"/>
        </w:rPr>
        <w:t xml:space="preserve"> </w:t>
      </w:r>
      <w:r w:rsidR="003F2FA0" w:rsidRPr="007C73DE">
        <w:rPr>
          <w:sz w:val="22"/>
          <w:szCs w:val="22"/>
          <w:lang w:val="es-ES"/>
        </w:rPr>
        <w:t>etnia</w:t>
      </w:r>
      <w:r w:rsidR="003F2FA0">
        <w:rPr>
          <w:sz w:val="22"/>
          <w:szCs w:val="22"/>
          <w:lang w:val="es-ES"/>
        </w:rPr>
        <w:t>s</w:t>
      </w:r>
      <w:r w:rsidRPr="007C73DE">
        <w:rPr>
          <w:sz w:val="22"/>
          <w:szCs w:val="22"/>
          <w:lang w:val="es-ES"/>
        </w:rPr>
        <w:t>, religio</w:t>
      </w:r>
      <w:r w:rsidR="00CC6A89">
        <w:rPr>
          <w:sz w:val="22"/>
          <w:szCs w:val="22"/>
          <w:lang w:val="es-ES"/>
        </w:rPr>
        <w:t>nes</w:t>
      </w:r>
      <w:r w:rsidRPr="007C73DE">
        <w:rPr>
          <w:sz w:val="22"/>
          <w:szCs w:val="22"/>
          <w:lang w:val="es-ES"/>
        </w:rPr>
        <w:t xml:space="preserve"> y culturas en las HBCU anima al gobierno federal a respetar e invertir en las instituciones. Se siguen aprobando leyes que refuerzan los recursos educativos, aumentan la capacidad administrativa y proporcionan grandes ayudas financieras a los estudiantes de estos poderosos centros de estudios. </w:t>
      </w:r>
    </w:p>
    <w:p w14:paraId="778D5F67" w14:textId="3D78AFBB" w:rsidR="009F2891" w:rsidRPr="007C73DE" w:rsidRDefault="00E35059">
      <w:pPr>
        <w:spacing w:line="240" w:lineRule="auto"/>
        <w:rPr>
          <w:sz w:val="20"/>
          <w:szCs w:val="20"/>
          <w:lang w:val="es-ES"/>
        </w:rPr>
      </w:pPr>
      <w:r w:rsidRPr="007C73DE">
        <w:rPr>
          <w:sz w:val="22"/>
          <w:szCs w:val="22"/>
          <w:lang w:val="es-ES"/>
        </w:rPr>
        <w:t>L</w:t>
      </w:r>
      <w:r w:rsidR="00D90BF9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HBCU son productos </w:t>
      </w:r>
      <w:r w:rsidR="00D90BF9">
        <w:rPr>
          <w:sz w:val="22"/>
          <w:szCs w:val="22"/>
          <w:lang w:val="es-ES"/>
        </w:rPr>
        <w:t>de valor incalculable</w:t>
      </w:r>
      <w:r w:rsidRPr="007C73DE">
        <w:rPr>
          <w:sz w:val="22"/>
          <w:szCs w:val="22"/>
          <w:lang w:val="es-ES"/>
        </w:rPr>
        <w:t xml:space="preserve"> de la diáspora africana y símbolos de la fuerza y la resistencia del pueblo </w:t>
      </w:r>
      <w:r w:rsidR="00D90BF9">
        <w:rPr>
          <w:sz w:val="22"/>
          <w:szCs w:val="22"/>
          <w:lang w:val="es-ES"/>
        </w:rPr>
        <w:t>afrodescendiente</w:t>
      </w:r>
      <w:r w:rsidRPr="007C73DE">
        <w:rPr>
          <w:sz w:val="22"/>
          <w:szCs w:val="22"/>
          <w:lang w:val="es-ES"/>
        </w:rPr>
        <w:t>. Su rica cultura y su rigor académico les han permitido perseverar a pesar de los continuos obstáculos.</w:t>
      </w:r>
    </w:p>
    <w:tbl>
      <w:tblPr>
        <w:tblStyle w:val="a2"/>
        <w:tblW w:w="1021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895"/>
      </w:tblGrid>
      <w:tr w:rsidR="009F2891" w:rsidRPr="007C73DE" w14:paraId="1B6BEBD3" w14:textId="77777777">
        <w:trPr>
          <w:trHeight w:val="2250"/>
        </w:trPr>
        <w:tc>
          <w:tcPr>
            <w:tcW w:w="13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F09A" w14:textId="77777777" w:rsidR="009F2891" w:rsidRPr="007C73DE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noProof/>
                <w:lang w:val="es-ES"/>
              </w:rPr>
              <w:lastRenderedPageBreak/>
              <w:drawing>
                <wp:anchor distT="0" distB="0" distL="0" distR="0" simplePos="0" relativeHeight="251660288" behindDoc="0" locked="0" layoutInCell="1" hidden="0" allowOverlap="1" wp14:anchorId="1536A506" wp14:editId="6C65824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1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F2ED" w14:textId="372D5236" w:rsidR="009F2891" w:rsidRPr="007C73DE" w:rsidRDefault="00123FD0">
            <w:pPr>
              <w:widowControl w:val="0"/>
              <w:spacing w:after="0" w:line="240" w:lineRule="auto"/>
              <w:rPr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b/>
                <w:i/>
                <w:color w:val="3E5C61"/>
                <w:sz w:val="28"/>
                <w:szCs w:val="28"/>
                <w:lang w:val="es-ES"/>
              </w:rPr>
              <w:t xml:space="preserve">Para y anota </w:t>
            </w:r>
          </w:p>
          <w:p w14:paraId="73BF43AA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0B93BB3C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3D82A49E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57F22799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FE60F7D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37ED38BB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22A61D66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59C2A61F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</w:tc>
      </w:tr>
    </w:tbl>
    <w:p w14:paraId="1642BB19" w14:textId="77777777" w:rsidR="009F2891" w:rsidRPr="007C73DE" w:rsidRDefault="009F2891">
      <w:pPr>
        <w:spacing w:line="225" w:lineRule="auto"/>
        <w:rPr>
          <w:i/>
          <w:color w:val="3E5C61"/>
          <w:sz w:val="18"/>
          <w:szCs w:val="18"/>
          <w:lang w:val="es-ES"/>
        </w:rPr>
      </w:pPr>
    </w:p>
    <w:p w14:paraId="242B003F" w14:textId="5664D38C" w:rsidR="009F2891" w:rsidRPr="007C73DE" w:rsidRDefault="0079156C">
      <w:pPr>
        <w:pStyle w:val="Heading1"/>
        <w:keepNext w:val="0"/>
        <w:keepLines w:val="0"/>
        <w:shd w:val="clear" w:color="auto" w:fill="FFFFFF"/>
        <w:spacing w:line="144" w:lineRule="auto"/>
        <w:rPr>
          <w:sz w:val="18"/>
          <w:szCs w:val="18"/>
          <w:shd w:val="clear" w:color="auto" w:fill="auto"/>
          <w:lang w:val="es-ES"/>
        </w:rPr>
      </w:pPr>
      <w:bookmarkStart w:id="1" w:name="_heading=h.e3sa4mmy91k1" w:colFirst="0" w:colLast="0"/>
      <w:bookmarkEnd w:id="1"/>
      <w:r>
        <w:rPr>
          <w:sz w:val="18"/>
          <w:szCs w:val="18"/>
          <w:shd w:val="clear" w:color="auto" w:fill="auto"/>
          <w:lang w:val="es-ES"/>
        </w:rPr>
        <w:t>Fuente</w:t>
      </w:r>
    </w:p>
    <w:p w14:paraId="20B52437" w14:textId="2F799888" w:rsidR="009F2891" w:rsidRPr="007C73DE" w:rsidRDefault="00000000" w:rsidP="009C290B">
      <w:pPr>
        <w:pStyle w:val="Citation"/>
        <w:rPr>
          <w:lang w:val="es-ES"/>
        </w:rPr>
      </w:pPr>
      <w:proofErr w:type="spellStart"/>
      <w:r w:rsidRPr="007C73DE">
        <w:rPr>
          <w:lang w:val="es-ES"/>
        </w:rPr>
        <w:t>Edmonson</w:t>
      </w:r>
      <w:proofErr w:type="spellEnd"/>
      <w:r w:rsidRPr="007C73DE">
        <w:rPr>
          <w:lang w:val="es-ES"/>
        </w:rPr>
        <w:t>, J. (</w:t>
      </w:r>
      <w:r w:rsidR="0079156C">
        <w:rPr>
          <w:lang w:val="es-ES"/>
        </w:rPr>
        <w:t>s</w:t>
      </w:r>
      <w:r w:rsidRPr="007C73DE">
        <w:rPr>
          <w:lang w:val="es-ES"/>
        </w:rPr>
        <w:t>.</w:t>
      </w:r>
      <w:r w:rsidR="0079156C">
        <w:rPr>
          <w:lang w:val="es-ES"/>
        </w:rPr>
        <w:t>f</w:t>
      </w:r>
      <w:r w:rsidRPr="007C73DE">
        <w:rPr>
          <w:lang w:val="es-ES"/>
        </w:rPr>
        <w:t xml:space="preserve">.). A </w:t>
      </w:r>
      <w:proofErr w:type="spellStart"/>
      <w:r w:rsidRPr="007C73DE">
        <w:rPr>
          <w:lang w:val="es-ES"/>
        </w:rPr>
        <w:t>Brief</w:t>
      </w:r>
      <w:proofErr w:type="spellEnd"/>
      <w:r w:rsidRPr="007C73DE">
        <w:rPr>
          <w:lang w:val="es-ES"/>
        </w:rPr>
        <w:t xml:space="preserve"> </w:t>
      </w:r>
      <w:proofErr w:type="spellStart"/>
      <w:r w:rsidRPr="007C73DE">
        <w:rPr>
          <w:lang w:val="es-ES"/>
        </w:rPr>
        <w:t>History</w:t>
      </w:r>
      <w:proofErr w:type="spellEnd"/>
      <w:r w:rsidRPr="007C73DE">
        <w:rPr>
          <w:lang w:val="es-ES"/>
        </w:rPr>
        <w:t xml:space="preserve">: </w:t>
      </w:r>
      <w:proofErr w:type="spellStart"/>
      <w:r w:rsidRPr="007C73DE">
        <w:rPr>
          <w:lang w:val="es-ES"/>
        </w:rPr>
        <w:t>The</w:t>
      </w:r>
      <w:proofErr w:type="spellEnd"/>
      <w:r w:rsidRPr="007C73DE">
        <w:rPr>
          <w:lang w:val="es-ES"/>
        </w:rPr>
        <w:t xml:space="preserve"> </w:t>
      </w:r>
      <w:proofErr w:type="spellStart"/>
      <w:r w:rsidRPr="007C73DE">
        <w:rPr>
          <w:lang w:val="es-ES"/>
        </w:rPr>
        <w:t>Rise</w:t>
      </w:r>
      <w:proofErr w:type="spellEnd"/>
      <w:r w:rsidRPr="007C73DE">
        <w:rPr>
          <w:lang w:val="es-ES"/>
        </w:rPr>
        <w:t xml:space="preserve"> </w:t>
      </w:r>
      <w:proofErr w:type="spellStart"/>
      <w:r w:rsidRPr="007C73DE">
        <w:rPr>
          <w:lang w:val="es-ES"/>
        </w:rPr>
        <w:t>of</w:t>
      </w:r>
      <w:proofErr w:type="spellEnd"/>
      <w:r w:rsidRPr="007C73DE">
        <w:rPr>
          <w:lang w:val="es-ES"/>
        </w:rPr>
        <w:t xml:space="preserve"> </w:t>
      </w:r>
      <w:proofErr w:type="spellStart"/>
      <w:r w:rsidRPr="007C73DE">
        <w:rPr>
          <w:lang w:val="es-ES"/>
        </w:rPr>
        <w:t>Historically</w:t>
      </w:r>
      <w:proofErr w:type="spellEnd"/>
      <w:r w:rsidRPr="007C73DE">
        <w:rPr>
          <w:lang w:val="es-ES"/>
        </w:rPr>
        <w:t xml:space="preserve"> Black </w:t>
      </w:r>
      <w:proofErr w:type="spellStart"/>
      <w:r w:rsidRPr="007C73DE">
        <w:rPr>
          <w:lang w:val="es-ES"/>
        </w:rPr>
        <w:t>Colleges</w:t>
      </w:r>
      <w:proofErr w:type="spellEnd"/>
      <w:r w:rsidRPr="007C73DE">
        <w:rPr>
          <w:lang w:val="es-ES"/>
        </w:rPr>
        <w:t xml:space="preserve"> and </w:t>
      </w:r>
      <w:proofErr w:type="spellStart"/>
      <w:r w:rsidRPr="007C73DE">
        <w:rPr>
          <w:lang w:val="es-ES"/>
        </w:rPr>
        <w:t>Universities</w:t>
      </w:r>
      <w:proofErr w:type="spellEnd"/>
      <w:r w:rsidRPr="007C73DE">
        <w:rPr>
          <w:lang w:val="es-ES"/>
        </w:rPr>
        <w:t>. Re</w:t>
      </w:r>
      <w:r w:rsidR="0058433F">
        <w:rPr>
          <w:lang w:val="es-ES"/>
        </w:rPr>
        <w:t>cuperado de</w:t>
      </w:r>
      <w:r w:rsidRPr="007C73DE">
        <w:rPr>
          <w:lang w:val="es-ES"/>
        </w:rPr>
        <w:t xml:space="preserve"> LSU: https://www.lsu.edu/intlpro/apa/blog_posts/2021/hbcus_a_brief_history.php</w:t>
      </w:r>
      <w:r w:rsidR="0058433F">
        <w:rPr>
          <w:lang w:val="es-ES"/>
        </w:rPr>
        <w:t xml:space="preserve"> </w:t>
      </w:r>
    </w:p>
    <w:p w14:paraId="603B15B7" w14:textId="77777777" w:rsidR="009F2891" w:rsidRPr="007C73DE" w:rsidRDefault="009F2891">
      <w:pPr>
        <w:rPr>
          <w:lang w:val="es-ES"/>
        </w:rPr>
      </w:pPr>
    </w:p>
    <w:sectPr w:rsidR="009F2891" w:rsidRPr="007C7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CBBD" w14:textId="77777777" w:rsidR="00094DB8" w:rsidRDefault="00094DB8">
      <w:pPr>
        <w:spacing w:after="0" w:line="240" w:lineRule="auto"/>
      </w:pPr>
      <w:r>
        <w:separator/>
      </w:r>
    </w:p>
  </w:endnote>
  <w:endnote w:type="continuationSeparator" w:id="0">
    <w:p w14:paraId="3BF0C7D6" w14:textId="77777777" w:rsidR="00094DB8" w:rsidRDefault="0009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2713" w14:textId="77777777" w:rsidR="00B07EC5" w:rsidRDefault="00B07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3EB0" w14:textId="77777777" w:rsidR="009F28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D5F3A1" wp14:editId="24F04CF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C49125" wp14:editId="5D00F8E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4A246" w14:textId="77777777" w:rsidR="009F2891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49125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10C4A246" w14:textId="77777777" w:rsidR="009F2891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6EBA" w14:textId="77777777" w:rsidR="00B07EC5" w:rsidRDefault="00B07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DCA0" w14:textId="77777777" w:rsidR="00094DB8" w:rsidRDefault="00094DB8">
      <w:pPr>
        <w:spacing w:after="0" w:line="240" w:lineRule="auto"/>
      </w:pPr>
      <w:r>
        <w:separator/>
      </w:r>
    </w:p>
  </w:footnote>
  <w:footnote w:type="continuationSeparator" w:id="0">
    <w:p w14:paraId="063E131B" w14:textId="77777777" w:rsidR="00094DB8" w:rsidRDefault="0009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84D4" w14:textId="77777777" w:rsidR="009F2891" w:rsidRDefault="009F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6EFC" w14:textId="77777777" w:rsidR="009F2891" w:rsidRDefault="009F2891"/>
  <w:p w14:paraId="7C0B946E" w14:textId="77777777" w:rsidR="009F2891" w:rsidRDefault="009F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5F13" w14:textId="77777777" w:rsidR="009F2891" w:rsidRDefault="009F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91"/>
    <w:rsid w:val="00094DB8"/>
    <w:rsid w:val="000A121A"/>
    <w:rsid w:val="00123FD0"/>
    <w:rsid w:val="00275731"/>
    <w:rsid w:val="003B1A9B"/>
    <w:rsid w:val="003F2FA0"/>
    <w:rsid w:val="00467917"/>
    <w:rsid w:val="00562751"/>
    <w:rsid w:val="0058433F"/>
    <w:rsid w:val="005A06C6"/>
    <w:rsid w:val="005E3746"/>
    <w:rsid w:val="00610235"/>
    <w:rsid w:val="0064302B"/>
    <w:rsid w:val="00695F22"/>
    <w:rsid w:val="006D1109"/>
    <w:rsid w:val="00732A76"/>
    <w:rsid w:val="007656F5"/>
    <w:rsid w:val="0079156C"/>
    <w:rsid w:val="007C73DE"/>
    <w:rsid w:val="00855AFA"/>
    <w:rsid w:val="00876037"/>
    <w:rsid w:val="00882047"/>
    <w:rsid w:val="009C290B"/>
    <w:rsid w:val="009F2891"/>
    <w:rsid w:val="00B07EC5"/>
    <w:rsid w:val="00B922A5"/>
    <w:rsid w:val="00C05485"/>
    <w:rsid w:val="00C3665E"/>
    <w:rsid w:val="00C420C0"/>
    <w:rsid w:val="00CC6A89"/>
    <w:rsid w:val="00D03A18"/>
    <w:rsid w:val="00D90BF9"/>
    <w:rsid w:val="00E35059"/>
    <w:rsid w:val="00E649CE"/>
    <w:rsid w:val="00EF1DF9"/>
    <w:rsid w:val="00EF7CE6"/>
    <w:rsid w:val="00F05D76"/>
    <w:rsid w:val="00FA518C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8E862"/>
  <w15:docId w15:val="{EF8AEC97-31F8-6D41-9BF3-FCB2C54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C12D7"/>
    <w:rPr>
      <w:i/>
      <w:iCs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S8PsC4VwU9tzJP2ZS6GAk6UiAQ==">AMUW2mXTG0hnjvOCbpXixYacgs1lu1EKmv2PxI+Sc74QaasDiCX2nEtkswmh3oL/Ycy9DwE2SMIwNAu45elRssi0M8ukvernirBz6hEFQ+EB8V8+B6cAPxgbGBnOSUIEFQkbfenBMC6a6q13HUpHIMJSGYXRstkE0A==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Lopez, Araceli</cp:lastModifiedBy>
  <cp:revision>13</cp:revision>
  <dcterms:created xsi:type="dcterms:W3CDTF">2022-08-15T19:32:00Z</dcterms:created>
  <dcterms:modified xsi:type="dcterms:W3CDTF">2022-09-12T14:11:00Z</dcterms:modified>
</cp:coreProperties>
</file>