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rPr/>
      </w:pPr>
      <w:r w:rsidDel="00000000" w:rsidR="00000000" w:rsidRPr="00000000">
        <w:rPr>
          <w:rtl w:val="0"/>
        </w:rPr>
        <w:t xml:space="preserve">CAREER CLUSTER CARDS</w:t>
      </w:r>
      <w:r w:rsidDel="00000000" w:rsidR="00000000" w:rsidRPr="00000000">
        <w:rPr>
          <w:rtl w:val="0"/>
        </w:rPr>
      </w:r>
    </w:p>
    <w:tbl>
      <w:tblPr>
        <w:tblStyle w:val="Table1"/>
        <w:tblW w:w="11734.0" w:type="dxa"/>
        <w:jc w:val="center"/>
        <w:tblBorders>
          <w:top w:color="bed7d3" w:space="0" w:sz="18" w:val="dashed"/>
          <w:left w:color="bed7d3" w:space="0" w:sz="18" w:val="dashed"/>
          <w:bottom w:color="bed7d3" w:space="0" w:sz="18" w:val="dashed"/>
          <w:right w:color="bed7d3" w:space="0" w:sz="18" w:val="dashed"/>
          <w:insideH w:color="bed7d3" w:space="0" w:sz="18" w:val="dashed"/>
          <w:insideV w:color="bed7d3" w:space="0" w:sz="18" w:val="dashed"/>
        </w:tblBorders>
        <w:tblLayout w:type="fixed"/>
        <w:tblLook w:val="0400"/>
      </w:tblPr>
      <w:tblGrid>
        <w:gridCol w:w="2933"/>
        <w:gridCol w:w="2933"/>
        <w:gridCol w:w="2934"/>
        <w:gridCol w:w="2934"/>
        <w:tblGridChange w:id="0">
          <w:tblGrid>
            <w:gridCol w:w="2933"/>
            <w:gridCol w:w="2933"/>
            <w:gridCol w:w="2934"/>
            <w:gridCol w:w="2934"/>
          </w:tblGrid>
        </w:tblGridChange>
      </w:tblGrid>
      <w:tr>
        <w:trPr>
          <w:cantSplit w:val="1"/>
          <w:trHeight w:val="878.90625" w:hRule="atLeast"/>
          <w:tblHeader w:val="0"/>
        </w:trPr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Agriculture, Food, &amp; Natural Resources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Architecture &amp; Construction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Arts, A/V Technology, &amp; Communication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Business, Management, &amp; Administration</w:t>
            </w:r>
          </w:p>
        </w:tc>
      </w:tr>
      <w:tr>
        <w:trPr>
          <w:cantSplit w:val="1"/>
          <w:trHeight w:val="878.90625" w:hRule="atLeast"/>
          <w:tblHeader w:val="0"/>
        </w:trPr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Education &amp; Training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Finance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Government &amp; Public Administration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Health Science</w:t>
            </w:r>
          </w:p>
        </w:tc>
      </w:tr>
      <w:tr>
        <w:trPr>
          <w:cantSplit w:val="1"/>
          <w:trHeight w:val="878.90625" w:hRule="atLeast"/>
          <w:tblHeader w:val="0"/>
        </w:trPr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Hospitality &amp; Tourism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Human Services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Information Technology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Law, Public Safety, Corrections, &amp; Security</w:t>
            </w:r>
          </w:p>
        </w:tc>
      </w:tr>
      <w:tr>
        <w:trPr>
          <w:cantSplit w:val="1"/>
          <w:trHeight w:val="878.90625" w:hRule="atLeast"/>
          <w:tblHeader w:val="0"/>
        </w:trPr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Manufacturing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Marketing, Sales, &amp; Services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Science, Technology, Engineering, &amp; Mathematics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Transportation, Distribution, &amp; Logistics</w:t>
            </w:r>
          </w:p>
        </w:tc>
      </w:tr>
      <w:tr>
        <w:trPr>
          <w:cantSplit w:val="1"/>
          <w:trHeight w:val="878.90625" w:hRule="atLeast"/>
          <w:tblHeader w:val="0"/>
        </w:trPr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Agriculture, Food, &amp; Natural Resources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Architecture &amp; Construction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Arts, A/V Technology, &amp; Communication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Business, Management, &amp; Administration</w:t>
            </w:r>
          </w:p>
        </w:tc>
      </w:tr>
      <w:tr>
        <w:trPr>
          <w:cantSplit w:val="1"/>
          <w:trHeight w:val="878.90625" w:hRule="atLeast"/>
          <w:tblHeader w:val="0"/>
        </w:trPr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Education &amp; Training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Finance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Government &amp; Public Administration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Health Science</w:t>
            </w:r>
          </w:p>
        </w:tc>
      </w:tr>
      <w:tr>
        <w:trPr>
          <w:cantSplit w:val="1"/>
          <w:trHeight w:val="878.90625" w:hRule="atLeast"/>
          <w:tblHeader w:val="0"/>
        </w:trPr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Hospitality &amp; Tourism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Human Services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Information Technology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Law, Public Safety, Corrections, &amp; Security</w:t>
            </w:r>
          </w:p>
        </w:tc>
      </w:tr>
      <w:tr>
        <w:trPr>
          <w:cantSplit w:val="1"/>
          <w:trHeight w:val="878.90625" w:hRule="atLeast"/>
          <w:tblHeader w:val="0"/>
        </w:trPr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Manufacturing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Marketing, Sales, &amp; Services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Science, Technology, Engineering, &amp; Mathematics</w:t>
            </w:r>
          </w:p>
        </w:tc>
        <w:tc>
          <w:tcPr>
            <w:tcBorders>
              <w:top w:color="43a2b1" w:space="0" w:sz="18" w:val="dashed"/>
              <w:left w:color="43a2b1" w:space="0" w:sz="18" w:val="dashed"/>
              <w:bottom w:color="43a2b1" w:space="0" w:sz="18" w:val="dashed"/>
              <w:right w:color="43a2b1" w:space="0" w:sz="18" w:val="dashed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7e5b"/>
                <w:sz w:val="24"/>
                <w:szCs w:val="24"/>
                <w:rtl w:val="0"/>
              </w:rPr>
              <w:t xml:space="preserve">Transportation, Distribution, &amp; Logistics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76" w:lineRule="auto"/>
        <w:rPr>
          <w:color w:val="4b7e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rPr>
          <w:b w:val="1"/>
          <w:color w:val="4b7e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1152525</wp:posOffset>
          </wp:positionH>
          <wp:positionV relativeFrom="paragraph">
            <wp:posOffset>-158160</wp:posOffset>
          </wp:positionV>
          <wp:extent cx="7618942" cy="79212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8942" cy="7921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00" w:line="276" w:lineRule="auto"/>
    </w:pPr>
    <w:rPr>
      <w:rFonts w:ascii="Calibri" w:cs="Calibri" w:eastAsia="Calibri" w:hAnsi="Calibri"/>
      <w:b w:val="1"/>
      <w:color w:val="4b7e5b"/>
      <w:sz w:val="24"/>
      <w:szCs w:val="24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</w:pPr>
    <w:rPr>
      <w:rFonts w:ascii="Calibri" w:cs="Calibri" w:eastAsia="Calibri" w:hAnsi="Calibri"/>
      <w:i w:val="1"/>
      <w:color w:val="4b7e5b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76" w:lineRule="auto"/>
    </w:pPr>
    <w:rPr>
      <w:rFonts w:ascii="Calibri" w:cs="Calibri" w:eastAsia="Calibri" w:hAnsi="Calibri"/>
      <w:i w:val="1"/>
      <w:color w:val="4b7e5b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40" w:line="240" w:lineRule="auto"/>
    </w:pPr>
    <w:rPr>
      <w:rFonts w:ascii="Calibri" w:cs="Calibri" w:eastAsia="Calibri" w:hAnsi="Calibri"/>
      <w:b w:val="1"/>
      <w:smallCaps w:val="1"/>
      <w:color w:val="4b7e5b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00" w:line="276" w:lineRule="auto"/>
    </w:pPr>
    <w:rPr>
      <w:rFonts w:ascii="Calibri" w:cs="Calibri" w:eastAsia="Calibri" w:hAnsi="Calibri"/>
      <w:b w:val="1"/>
      <w:color w:val="4b7e5b"/>
      <w:sz w:val="24"/>
      <w:szCs w:val="24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</w:pPr>
    <w:rPr>
      <w:rFonts w:ascii="Calibri" w:cs="Calibri" w:eastAsia="Calibri" w:hAnsi="Calibri"/>
      <w:i w:val="1"/>
      <w:color w:val="4b7e5b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76" w:lineRule="auto"/>
    </w:pPr>
    <w:rPr>
      <w:rFonts w:ascii="Calibri" w:cs="Calibri" w:eastAsia="Calibri" w:hAnsi="Calibri"/>
      <w:i w:val="1"/>
      <w:color w:val="4b7e5b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40" w:line="240" w:lineRule="auto"/>
    </w:pPr>
    <w:rPr>
      <w:rFonts w:ascii="Calibri" w:cs="Calibri" w:eastAsia="Calibri" w:hAnsi="Calibri"/>
      <w:b w:val="1"/>
      <w:smallCaps w:val="1"/>
      <w:color w:val="4b7e5b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ve3NWyfjq0o1zL9AJGMvmvLbFQ==">CgMxLjA4AHIhMUVwMC1PQmtUR1ItcktlMUdqVXFZbzc1S0REUlJGaTNC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