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E76046" w14:textId="0758F34E" w:rsidR="00E776FE" w:rsidRDefault="00BA2DEC" w:rsidP="00B06FF2">
      <w:pPr>
        <w:pStyle w:val="Title"/>
        <w:spacing w:after="0" w:line="276" w:lineRule="auto"/>
      </w:pPr>
      <w:r>
        <w:t>HELPING BUILD SMART FINANCIAL HABITS</w:t>
      </w:r>
    </w:p>
    <w:p w14:paraId="2C259771" w14:textId="77777777" w:rsidR="00B06FF2" w:rsidRDefault="00B06FF2" w:rsidP="00B06FF2">
      <w:pPr>
        <w:spacing w:after="0" w:line="276" w:lineRule="auto"/>
      </w:pPr>
    </w:p>
    <w:p w14:paraId="3DFA4D3C" w14:textId="392F8C5D" w:rsidR="00E776FE" w:rsidRDefault="00000000" w:rsidP="00B06FF2">
      <w:pPr>
        <w:spacing w:after="0" w:line="276" w:lineRule="auto"/>
      </w:pPr>
      <w:r>
        <w:t>Your student doesn't need to become a financial expert overnight — and neither do you. This guide covers the habits that matter most in the first year: budgeting, spotting the small leaks, building a cushion for the unexpected, and knowing where to turn when money is tight.</w:t>
      </w:r>
    </w:p>
    <w:p w14:paraId="25F0CE1A" w14:textId="77777777" w:rsidR="00B06FF2" w:rsidRDefault="00B06FF2" w:rsidP="00B06FF2">
      <w:pPr>
        <w:pStyle w:val="Heading1"/>
        <w:spacing w:before="0" w:after="0" w:line="276" w:lineRule="auto"/>
      </w:pPr>
    </w:p>
    <w:p w14:paraId="4671DC06" w14:textId="756B06CD" w:rsidR="00E776FE" w:rsidRDefault="00000000" w:rsidP="00B06FF2">
      <w:pPr>
        <w:pStyle w:val="Heading1"/>
        <w:spacing w:before="0" w:after="0" w:line="276" w:lineRule="auto"/>
      </w:pPr>
      <w:r>
        <w:t>Building a Monthly Budget</w:t>
      </w:r>
    </w:p>
    <w:p w14:paraId="1912BB3B" w14:textId="77777777" w:rsidR="00E776FE" w:rsidRDefault="00000000" w:rsidP="00B06FF2">
      <w:pPr>
        <w:spacing w:after="0" w:line="276" w:lineRule="auto"/>
      </w:pPr>
      <w:r>
        <w:t>A budget just means knowing what's coming in and what's going out before the month starts, not after. Encourage your student to add up every source of income (job wages, aid refunds, family support) and list every expense, then compare. If aid arrives as a lump sum, divide it by the number of months it needs to cover and treat it like a paycheck.</w:t>
      </w:r>
    </w:p>
    <w:p w14:paraId="5D123D7F" w14:textId="77777777" w:rsidR="0039228E" w:rsidRPr="0039228E" w:rsidRDefault="0039228E" w:rsidP="0039228E"/>
    <w:tbl>
      <w:tblPr>
        <w:tblW w:w="0" w:type="auto"/>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Layout w:type="fixed"/>
        <w:tblCellMar>
          <w:left w:w="0" w:type="dxa"/>
          <w:right w:w="0" w:type="dxa"/>
        </w:tblCellMar>
        <w:tblLook w:val="0620" w:firstRow="1" w:lastRow="0" w:firstColumn="0" w:lastColumn="0" w:noHBand="1" w:noVBand="1"/>
      </w:tblPr>
      <w:tblGrid>
        <w:gridCol w:w="5511"/>
        <w:gridCol w:w="1039"/>
        <w:gridCol w:w="2800"/>
      </w:tblGrid>
      <w:tr w:rsidR="00B06FF2" w:rsidRPr="00DC1CA0" w14:paraId="267DA2C4" w14:textId="77777777" w:rsidTr="0039228E">
        <w:trPr>
          <w:tblHeader/>
        </w:trPr>
        <w:tc>
          <w:tcPr>
            <w:tcW w:w="5511" w:type="dxa"/>
            <w:shd w:val="clear" w:color="auto" w:fill="275781"/>
            <w:tcMar>
              <w:top w:w="115" w:type="dxa"/>
              <w:left w:w="115" w:type="dxa"/>
              <w:bottom w:w="115" w:type="dxa"/>
              <w:right w:w="115" w:type="dxa"/>
            </w:tcMar>
            <w:hideMark/>
          </w:tcPr>
          <w:p w14:paraId="458644C1" w14:textId="77777777" w:rsidR="00B06FF2" w:rsidRPr="00DC1CA0" w:rsidRDefault="00B06FF2" w:rsidP="002C5069">
            <w:pPr>
              <w:spacing w:line="240" w:lineRule="auto"/>
              <w:rPr>
                <w:rFonts w:ascii="Times New Roman" w:hAnsi="Times New Roman" w:cs="Times New Roman"/>
                <w:b/>
                <w:bCs/>
                <w:color w:val="FFFFFF" w:themeColor="background1"/>
              </w:rPr>
            </w:pPr>
            <w:bookmarkStart w:id="0" w:name="OLE_LINK12"/>
            <w:r>
              <w:rPr>
                <w:b/>
                <w:bCs/>
                <w:color w:val="FFFFFF" w:themeColor="background1"/>
              </w:rPr>
              <w:t>Sample Budget: Part-time student</w:t>
            </w:r>
          </w:p>
        </w:tc>
        <w:tc>
          <w:tcPr>
            <w:tcW w:w="1039" w:type="dxa"/>
            <w:shd w:val="clear" w:color="auto" w:fill="275781"/>
            <w:tcMar>
              <w:top w:w="115" w:type="dxa"/>
              <w:left w:w="115" w:type="dxa"/>
              <w:bottom w:w="115" w:type="dxa"/>
              <w:right w:w="115" w:type="dxa"/>
            </w:tcMar>
            <w:hideMark/>
          </w:tcPr>
          <w:p w14:paraId="4B087AA1" w14:textId="77777777" w:rsidR="00B06FF2" w:rsidRPr="00DC1CA0" w:rsidRDefault="00B06FF2" w:rsidP="002C5069">
            <w:pPr>
              <w:spacing w:line="240" w:lineRule="auto"/>
              <w:rPr>
                <w:rFonts w:ascii="Times New Roman" w:hAnsi="Times New Roman" w:cs="Times New Roman"/>
                <w:b/>
                <w:bCs/>
                <w:color w:val="FFFFFF" w:themeColor="background1"/>
              </w:rPr>
            </w:pPr>
            <w:r>
              <w:rPr>
                <w:b/>
                <w:bCs/>
                <w:color w:val="FFFFFF" w:themeColor="background1"/>
              </w:rPr>
              <w:t>Amount</w:t>
            </w:r>
          </w:p>
        </w:tc>
        <w:tc>
          <w:tcPr>
            <w:tcW w:w="2800" w:type="dxa"/>
            <w:shd w:val="clear" w:color="auto" w:fill="275781"/>
            <w:tcMar>
              <w:top w:w="115" w:type="dxa"/>
              <w:left w:w="115" w:type="dxa"/>
              <w:bottom w:w="115" w:type="dxa"/>
              <w:right w:w="115" w:type="dxa"/>
            </w:tcMar>
            <w:hideMark/>
          </w:tcPr>
          <w:p w14:paraId="1F554D27" w14:textId="77777777" w:rsidR="00B06FF2" w:rsidRPr="00DC1CA0" w:rsidRDefault="00B06FF2" w:rsidP="002C5069">
            <w:pPr>
              <w:spacing w:line="240" w:lineRule="auto"/>
              <w:rPr>
                <w:rFonts w:ascii="Times New Roman" w:hAnsi="Times New Roman" w:cs="Times New Roman"/>
                <w:b/>
                <w:bCs/>
                <w:color w:val="FFFFFF" w:themeColor="background1"/>
              </w:rPr>
            </w:pPr>
            <w:r>
              <w:rPr>
                <w:b/>
                <w:bCs/>
                <w:color w:val="FFFFFF" w:themeColor="background1"/>
              </w:rPr>
              <w:t>Notes</w:t>
            </w:r>
          </w:p>
        </w:tc>
      </w:tr>
      <w:tr w:rsidR="00B06FF2" w:rsidRPr="00DC1CA0" w14:paraId="54DE2EBD" w14:textId="77777777" w:rsidTr="00D76450">
        <w:tc>
          <w:tcPr>
            <w:tcW w:w="5511" w:type="dxa"/>
            <w:tcMar>
              <w:top w:w="115" w:type="dxa"/>
              <w:left w:w="115" w:type="dxa"/>
              <w:bottom w:w="115" w:type="dxa"/>
              <w:right w:w="115" w:type="dxa"/>
            </w:tcMar>
            <w:hideMark/>
          </w:tcPr>
          <w:p w14:paraId="3CDA0BA0" w14:textId="77777777" w:rsidR="00B06FF2" w:rsidRPr="00F33303" w:rsidRDefault="00B06FF2" w:rsidP="00D76450">
            <w:pPr>
              <w:spacing w:after="0" w:line="240" w:lineRule="auto"/>
              <w:rPr>
                <w:rFonts w:ascii="Times New Roman" w:hAnsi="Times New Roman" w:cs="Times New Roman"/>
                <w:b/>
                <w:bCs/>
                <w:color w:val="971D20" w:themeColor="accent3"/>
              </w:rPr>
            </w:pPr>
            <w:r>
              <w:rPr>
                <w:b/>
                <w:bCs/>
                <w:color w:val="971D20" w:themeColor="accent3"/>
              </w:rPr>
              <w:t>Job Wages (after taxes)</w:t>
            </w:r>
          </w:p>
        </w:tc>
        <w:tc>
          <w:tcPr>
            <w:tcW w:w="1039" w:type="dxa"/>
            <w:tcMar>
              <w:top w:w="115" w:type="dxa"/>
              <w:left w:w="115" w:type="dxa"/>
              <w:bottom w:w="115" w:type="dxa"/>
              <w:right w:w="115" w:type="dxa"/>
            </w:tcMar>
            <w:hideMark/>
          </w:tcPr>
          <w:p w14:paraId="13FCCB79" w14:textId="77777777" w:rsidR="00B06FF2" w:rsidRPr="00DC1CA0" w:rsidRDefault="00B06FF2" w:rsidP="00D76450">
            <w:pPr>
              <w:spacing w:after="0" w:line="240" w:lineRule="auto"/>
            </w:pPr>
            <w:r>
              <w:rPr>
                <w:color w:val="000000" w:themeColor="text1"/>
              </w:rPr>
              <w:t>+ $900</w:t>
            </w:r>
          </w:p>
        </w:tc>
        <w:tc>
          <w:tcPr>
            <w:tcW w:w="2800" w:type="dxa"/>
            <w:tcMar>
              <w:top w:w="115" w:type="dxa"/>
              <w:left w:w="115" w:type="dxa"/>
              <w:bottom w:w="115" w:type="dxa"/>
              <w:right w:w="115" w:type="dxa"/>
            </w:tcMar>
            <w:hideMark/>
          </w:tcPr>
          <w:p w14:paraId="6416AC55" w14:textId="52AED262" w:rsidR="00B06FF2" w:rsidRPr="00DC1CA0" w:rsidRDefault="005956F4" w:rsidP="00D76450">
            <w:pPr>
              <w:spacing w:after="0" w:line="240" w:lineRule="auto"/>
            </w:pPr>
            <w:r>
              <w:rPr>
                <w:color w:val="000000" w:themeColor="text1"/>
              </w:rPr>
              <w:t xml:space="preserve">About </w:t>
            </w:r>
            <w:r w:rsidR="00B06FF2">
              <w:rPr>
                <w:color w:val="000000" w:themeColor="text1"/>
              </w:rPr>
              <w:t>20 hrs/week</w:t>
            </w:r>
          </w:p>
        </w:tc>
      </w:tr>
      <w:tr w:rsidR="00B06FF2" w:rsidRPr="00DC1CA0" w14:paraId="652442EB" w14:textId="77777777" w:rsidTr="00D76450">
        <w:tc>
          <w:tcPr>
            <w:tcW w:w="5511" w:type="dxa"/>
            <w:tcMar>
              <w:top w:w="115" w:type="dxa"/>
              <w:left w:w="115" w:type="dxa"/>
              <w:bottom w:w="115" w:type="dxa"/>
              <w:right w:w="115" w:type="dxa"/>
            </w:tcMar>
            <w:hideMark/>
          </w:tcPr>
          <w:p w14:paraId="6AB3FE25" w14:textId="77777777" w:rsidR="00B06FF2" w:rsidRPr="00F33303" w:rsidRDefault="00B06FF2" w:rsidP="00D76450">
            <w:pPr>
              <w:spacing w:after="0" w:line="240" w:lineRule="auto"/>
              <w:rPr>
                <w:rFonts w:ascii="Times New Roman" w:hAnsi="Times New Roman" w:cs="Times New Roman"/>
                <w:b/>
                <w:bCs/>
                <w:color w:val="971D20" w:themeColor="accent3"/>
              </w:rPr>
            </w:pPr>
            <w:r>
              <w:rPr>
                <w:b/>
                <w:bCs/>
                <w:color w:val="971D20" w:themeColor="accent3"/>
              </w:rPr>
              <w:t>Aid Refund</w:t>
            </w:r>
          </w:p>
        </w:tc>
        <w:tc>
          <w:tcPr>
            <w:tcW w:w="1039" w:type="dxa"/>
            <w:tcMar>
              <w:top w:w="115" w:type="dxa"/>
              <w:left w:w="115" w:type="dxa"/>
              <w:bottom w:w="115" w:type="dxa"/>
              <w:right w:w="115" w:type="dxa"/>
            </w:tcMar>
            <w:hideMark/>
          </w:tcPr>
          <w:p w14:paraId="1629CA74" w14:textId="77777777" w:rsidR="00B06FF2" w:rsidRPr="00DC1CA0" w:rsidRDefault="00B06FF2" w:rsidP="00D76450">
            <w:pPr>
              <w:spacing w:after="0" w:line="240" w:lineRule="auto"/>
            </w:pPr>
            <w:r>
              <w:rPr>
                <w:color w:val="000000" w:themeColor="text1"/>
              </w:rPr>
              <w:t>+ $400</w:t>
            </w:r>
          </w:p>
        </w:tc>
        <w:tc>
          <w:tcPr>
            <w:tcW w:w="2800" w:type="dxa"/>
            <w:tcMar>
              <w:top w:w="115" w:type="dxa"/>
              <w:left w:w="115" w:type="dxa"/>
              <w:bottom w:w="115" w:type="dxa"/>
              <w:right w:w="115" w:type="dxa"/>
            </w:tcMar>
            <w:hideMark/>
          </w:tcPr>
          <w:p w14:paraId="5C488507" w14:textId="77777777" w:rsidR="00B06FF2" w:rsidRPr="00DC1CA0" w:rsidRDefault="00B06FF2" w:rsidP="00D76450">
            <w:pPr>
              <w:spacing w:after="0" w:line="240" w:lineRule="auto"/>
            </w:pPr>
            <w:r>
              <w:rPr>
                <w:color w:val="000000" w:themeColor="text1"/>
              </w:rPr>
              <w:t>$2,400/semester ÷ 6 months</w:t>
            </w:r>
          </w:p>
        </w:tc>
      </w:tr>
      <w:tr w:rsidR="00B06FF2" w:rsidRPr="00DC1CA0" w14:paraId="0F2F8289" w14:textId="77777777" w:rsidTr="00D76450">
        <w:tc>
          <w:tcPr>
            <w:tcW w:w="5511" w:type="dxa"/>
            <w:shd w:val="clear" w:color="auto" w:fill="D5EBF9"/>
            <w:tcMar>
              <w:top w:w="115" w:type="dxa"/>
              <w:left w:w="115" w:type="dxa"/>
              <w:bottom w:w="115" w:type="dxa"/>
              <w:right w:w="115" w:type="dxa"/>
            </w:tcMar>
            <w:hideMark/>
          </w:tcPr>
          <w:p w14:paraId="3B28285C" w14:textId="77777777" w:rsidR="00B06FF2" w:rsidRPr="00F33303" w:rsidRDefault="00B06FF2" w:rsidP="00D76450">
            <w:pPr>
              <w:spacing w:after="0" w:line="240" w:lineRule="auto"/>
              <w:rPr>
                <w:rFonts w:ascii="Times New Roman" w:hAnsi="Times New Roman" w:cs="Times New Roman"/>
                <w:b/>
                <w:bCs/>
                <w:color w:val="971D20" w:themeColor="accent3"/>
              </w:rPr>
            </w:pPr>
            <w:r>
              <w:rPr>
                <w:b/>
                <w:bCs/>
                <w:color w:val="971D20" w:themeColor="accent3"/>
              </w:rPr>
              <w:t xml:space="preserve">Total Income </w:t>
            </w:r>
          </w:p>
        </w:tc>
        <w:tc>
          <w:tcPr>
            <w:tcW w:w="1039" w:type="dxa"/>
            <w:shd w:val="clear" w:color="auto" w:fill="D5EBF9"/>
            <w:tcMar>
              <w:top w:w="115" w:type="dxa"/>
              <w:left w:w="115" w:type="dxa"/>
              <w:bottom w:w="115" w:type="dxa"/>
              <w:right w:w="115" w:type="dxa"/>
            </w:tcMar>
            <w:hideMark/>
          </w:tcPr>
          <w:p w14:paraId="0EA115FC" w14:textId="77777777" w:rsidR="00B06FF2" w:rsidRPr="00DC1CA0" w:rsidRDefault="00B06FF2" w:rsidP="00D76450">
            <w:pPr>
              <w:spacing w:after="0" w:line="240" w:lineRule="auto"/>
              <w:rPr>
                <w:rFonts w:ascii="Times New Roman" w:hAnsi="Times New Roman" w:cs="Times New Roman"/>
              </w:rPr>
            </w:pPr>
            <w:r>
              <w:rPr>
                <w:b/>
                <w:bCs/>
                <w:color w:val="000000" w:themeColor="text1"/>
              </w:rPr>
              <w:t>$1,300</w:t>
            </w:r>
          </w:p>
        </w:tc>
        <w:tc>
          <w:tcPr>
            <w:tcW w:w="2800" w:type="dxa"/>
            <w:shd w:val="clear" w:color="auto" w:fill="D5EBF9"/>
            <w:tcMar>
              <w:top w:w="115" w:type="dxa"/>
              <w:left w:w="115" w:type="dxa"/>
              <w:bottom w:w="115" w:type="dxa"/>
              <w:right w:w="115" w:type="dxa"/>
            </w:tcMar>
            <w:hideMark/>
          </w:tcPr>
          <w:p w14:paraId="54D51FBD" w14:textId="77777777" w:rsidR="00B06FF2" w:rsidRPr="00DC1CA0" w:rsidRDefault="00B06FF2" w:rsidP="00D76450">
            <w:pPr>
              <w:spacing w:after="0" w:line="240" w:lineRule="auto"/>
            </w:pPr>
          </w:p>
        </w:tc>
      </w:tr>
      <w:tr w:rsidR="00B06FF2" w:rsidRPr="00DC1CA0" w14:paraId="5F8085EC" w14:textId="77777777" w:rsidTr="00D76450">
        <w:tc>
          <w:tcPr>
            <w:tcW w:w="5511" w:type="dxa"/>
            <w:tcMar>
              <w:top w:w="115" w:type="dxa"/>
              <w:left w:w="115" w:type="dxa"/>
              <w:bottom w:w="115" w:type="dxa"/>
              <w:right w:w="115" w:type="dxa"/>
            </w:tcMar>
          </w:tcPr>
          <w:p w14:paraId="2CAF7253" w14:textId="77777777" w:rsidR="00B06FF2" w:rsidRDefault="00B06FF2" w:rsidP="00D76450">
            <w:pPr>
              <w:spacing w:after="0" w:line="240" w:lineRule="auto"/>
              <w:rPr>
                <w:b/>
                <w:bCs/>
                <w:color w:val="971D20" w:themeColor="accent3"/>
              </w:rPr>
            </w:pPr>
            <w:r>
              <w:rPr>
                <w:color w:val="000000" w:themeColor="text1"/>
              </w:rPr>
              <w:t>Rent (split 2 ways)</w:t>
            </w:r>
          </w:p>
        </w:tc>
        <w:tc>
          <w:tcPr>
            <w:tcW w:w="1039" w:type="dxa"/>
            <w:tcMar>
              <w:top w:w="115" w:type="dxa"/>
              <w:left w:w="115" w:type="dxa"/>
              <w:bottom w:w="115" w:type="dxa"/>
              <w:right w:w="115" w:type="dxa"/>
            </w:tcMar>
          </w:tcPr>
          <w:p w14:paraId="61C1A89A" w14:textId="77777777" w:rsidR="00B06FF2" w:rsidRDefault="00B06FF2" w:rsidP="00D76450">
            <w:pPr>
              <w:spacing w:after="0" w:line="240" w:lineRule="auto"/>
              <w:rPr>
                <w:b/>
                <w:bCs/>
                <w:color w:val="000000" w:themeColor="text1"/>
              </w:rPr>
            </w:pPr>
            <w:r>
              <w:rPr>
                <w:color w:val="000000" w:themeColor="text1"/>
              </w:rPr>
              <w:t>– $450</w:t>
            </w:r>
          </w:p>
        </w:tc>
        <w:tc>
          <w:tcPr>
            <w:tcW w:w="2800" w:type="dxa"/>
            <w:tcMar>
              <w:top w:w="115" w:type="dxa"/>
              <w:left w:w="115" w:type="dxa"/>
              <w:bottom w:w="115" w:type="dxa"/>
              <w:right w:w="115" w:type="dxa"/>
            </w:tcMar>
          </w:tcPr>
          <w:p w14:paraId="5D6DFC9A" w14:textId="77777777" w:rsidR="00B06FF2" w:rsidRPr="00DC1CA0" w:rsidRDefault="00B06FF2" w:rsidP="00D76450">
            <w:pPr>
              <w:spacing w:after="0" w:line="240" w:lineRule="auto"/>
            </w:pPr>
            <w:r>
              <w:rPr>
                <w:color w:val="000000" w:themeColor="text1"/>
              </w:rPr>
              <w:t>Off-campus apartment</w:t>
            </w:r>
          </w:p>
        </w:tc>
      </w:tr>
      <w:tr w:rsidR="00B06FF2" w:rsidRPr="00DC1CA0" w14:paraId="709FE492" w14:textId="77777777" w:rsidTr="00D76450">
        <w:tc>
          <w:tcPr>
            <w:tcW w:w="5511" w:type="dxa"/>
            <w:tcMar>
              <w:top w:w="115" w:type="dxa"/>
              <w:left w:w="115" w:type="dxa"/>
              <w:bottom w:w="115" w:type="dxa"/>
              <w:right w:w="115" w:type="dxa"/>
            </w:tcMar>
          </w:tcPr>
          <w:p w14:paraId="609E90BD" w14:textId="77777777" w:rsidR="00B06FF2" w:rsidRDefault="00B06FF2" w:rsidP="00D76450">
            <w:pPr>
              <w:spacing w:after="0" w:line="240" w:lineRule="auto"/>
              <w:rPr>
                <w:b/>
                <w:bCs/>
                <w:color w:val="971D20" w:themeColor="accent3"/>
              </w:rPr>
            </w:pPr>
            <w:r>
              <w:rPr>
                <w:color w:val="000000" w:themeColor="text1"/>
              </w:rPr>
              <w:t>Groceries, transportation, phone, subscriptions, personal, books</w:t>
            </w:r>
          </w:p>
        </w:tc>
        <w:tc>
          <w:tcPr>
            <w:tcW w:w="1039" w:type="dxa"/>
            <w:tcMar>
              <w:top w:w="115" w:type="dxa"/>
              <w:left w:w="115" w:type="dxa"/>
              <w:bottom w:w="115" w:type="dxa"/>
              <w:right w:w="115" w:type="dxa"/>
            </w:tcMar>
          </w:tcPr>
          <w:p w14:paraId="3E2392FA" w14:textId="77777777" w:rsidR="00B06FF2" w:rsidRDefault="00B06FF2" w:rsidP="00D76450">
            <w:pPr>
              <w:spacing w:after="0" w:line="240" w:lineRule="auto"/>
              <w:rPr>
                <w:b/>
                <w:bCs/>
                <w:color w:val="000000" w:themeColor="text1"/>
              </w:rPr>
            </w:pPr>
            <w:r>
              <w:rPr>
                <w:color w:val="000000" w:themeColor="text1"/>
              </w:rPr>
              <w:t>– $450</w:t>
            </w:r>
          </w:p>
        </w:tc>
        <w:tc>
          <w:tcPr>
            <w:tcW w:w="2800" w:type="dxa"/>
            <w:tcMar>
              <w:top w:w="115" w:type="dxa"/>
              <w:left w:w="115" w:type="dxa"/>
              <w:bottom w:w="115" w:type="dxa"/>
              <w:right w:w="115" w:type="dxa"/>
            </w:tcMar>
          </w:tcPr>
          <w:p w14:paraId="75CA655F" w14:textId="77777777" w:rsidR="00B06FF2" w:rsidRPr="00DC1CA0" w:rsidRDefault="00B06FF2" w:rsidP="00D76450">
            <w:pPr>
              <w:spacing w:after="0" w:line="240" w:lineRule="auto"/>
            </w:pPr>
            <w:r>
              <w:rPr>
                <w:color w:val="000000" w:themeColor="text1"/>
              </w:rPr>
              <w:t>Combined variable costs</w:t>
            </w:r>
          </w:p>
        </w:tc>
      </w:tr>
      <w:tr w:rsidR="00B06FF2" w:rsidRPr="00DC1CA0" w14:paraId="6ED6192C" w14:textId="77777777" w:rsidTr="00D76450">
        <w:tc>
          <w:tcPr>
            <w:tcW w:w="5511" w:type="dxa"/>
            <w:shd w:val="clear" w:color="auto" w:fill="D5EBF9"/>
            <w:tcMar>
              <w:top w:w="115" w:type="dxa"/>
              <w:left w:w="115" w:type="dxa"/>
              <w:bottom w:w="115" w:type="dxa"/>
              <w:right w:w="115" w:type="dxa"/>
            </w:tcMar>
          </w:tcPr>
          <w:p w14:paraId="4110A701" w14:textId="77777777" w:rsidR="00B06FF2" w:rsidRPr="00701F3F" w:rsidRDefault="00B06FF2" w:rsidP="00D76450">
            <w:pPr>
              <w:spacing w:after="0" w:line="240" w:lineRule="auto"/>
              <w:rPr>
                <w:b/>
                <w:bCs/>
                <w:color w:val="971D20" w:themeColor="accent3"/>
              </w:rPr>
            </w:pPr>
            <w:r>
              <w:rPr>
                <w:b/>
                <w:bCs/>
                <w:color w:val="971D20" w:themeColor="accent3"/>
              </w:rPr>
              <w:t>Total Expenses</w:t>
            </w:r>
          </w:p>
        </w:tc>
        <w:tc>
          <w:tcPr>
            <w:tcW w:w="1039" w:type="dxa"/>
            <w:shd w:val="clear" w:color="auto" w:fill="D5EBF9"/>
            <w:tcMar>
              <w:top w:w="115" w:type="dxa"/>
              <w:left w:w="115" w:type="dxa"/>
              <w:bottom w:w="115" w:type="dxa"/>
              <w:right w:w="115" w:type="dxa"/>
            </w:tcMar>
          </w:tcPr>
          <w:p w14:paraId="36E3B5D8" w14:textId="77777777" w:rsidR="00B06FF2" w:rsidRDefault="00B06FF2" w:rsidP="00D76450">
            <w:pPr>
              <w:spacing w:after="0" w:line="240" w:lineRule="auto"/>
              <w:rPr>
                <w:b/>
                <w:bCs/>
                <w:color w:val="000000" w:themeColor="text1"/>
              </w:rPr>
            </w:pPr>
            <w:r>
              <w:rPr>
                <w:b/>
                <w:bCs/>
                <w:color w:val="000000" w:themeColor="text1"/>
              </w:rPr>
              <w:t>$900</w:t>
            </w:r>
          </w:p>
        </w:tc>
        <w:tc>
          <w:tcPr>
            <w:tcW w:w="2800" w:type="dxa"/>
            <w:shd w:val="clear" w:color="auto" w:fill="D5EBF9"/>
            <w:tcMar>
              <w:top w:w="115" w:type="dxa"/>
              <w:left w:w="115" w:type="dxa"/>
              <w:bottom w:w="115" w:type="dxa"/>
              <w:right w:w="115" w:type="dxa"/>
            </w:tcMar>
          </w:tcPr>
          <w:p w14:paraId="58C3E932" w14:textId="77777777" w:rsidR="00B06FF2" w:rsidRPr="00DC1CA0" w:rsidRDefault="00B06FF2" w:rsidP="00D76450">
            <w:pPr>
              <w:spacing w:after="0" w:line="240" w:lineRule="auto"/>
            </w:pPr>
          </w:p>
        </w:tc>
      </w:tr>
      <w:tr w:rsidR="00B06FF2" w:rsidRPr="00DC1CA0" w14:paraId="2AAF9642" w14:textId="77777777" w:rsidTr="00D76450">
        <w:tc>
          <w:tcPr>
            <w:tcW w:w="5511" w:type="dxa"/>
            <w:shd w:val="clear" w:color="auto" w:fill="D5EBF9"/>
            <w:tcMar>
              <w:top w:w="115" w:type="dxa"/>
              <w:left w:w="115" w:type="dxa"/>
              <w:bottom w:w="115" w:type="dxa"/>
              <w:right w:w="115" w:type="dxa"/>
            </w:tcMar>
          </w:tcPr>
          <w:p w14:paraId="2690B069" w14:textId="77777777" w:rsidR="00B06FF2" w:rsidRDefault="00B06FF2" w:rsidP="00D76450">
            <w:pPr>
              <w:spacing w:after="0" w:line="240" w:lineRule="auto"/>
              <w:rPr>
                <w:b/>
                <w:bCs/>
                <w:color w:val="971D20" w:themeColor="accent3"/>
              </w:rPr>
            </w:pPr>
            <w:r>
              <w:rPr>
                <w:b/>
                <w:bCs/>
                <w:color w:val="971D20" w:themeColor="accent3"/>
              </w:rPr>
              <w:t>Left Over to Save</w:t>
            </w:r>
          </w:p>
        </w:tc>
        <w:tc>
          <w:tcPr>
            <w:tcW w:w="1039" w:type="dxa"/>
            <w:shd w:val="clear" w:color="auto" w:fill="D5EBF9"/>
            <w:tcMar>
              <w:top w:w="115" w:type="dxa"/>
              <w:left w:w="115" w:type="dxa"/>
              <w:bottom w:w="115" w:type="dxa"/>
              <w:right w:w="115" w:type="dxa"/>
            </w:tcMar>
          </w:tcPr>
          <w:p w14:paraId="17CC768D" w14:textId="77777777" w:rsidR="00B06FF2" w:rsidRDefault="00B06FF2" w:rsidP="00D76450">
            <w:pPr>
              <w:spacing w:after="0" w:line="240" w:lineRule="auto"/>
              <w:rPr>
                <w:b/>
                <w:bCs/>
                <w:color w:val="000000" w:themeColor="text1"/>
              </w:rPr>
            </w:pPr>
            <w:r>
              <w:rPr>
                <w:b/>
                <w:bCs/>
                <w:color w:val="000000" w:themeColor="text1"/>
              </w:rPr>
              <w:t>$400</w:t>
            </w:r>
          </w:p>
        </w:tc>
        <w:tc>
          <w:tcPr>
            <w:tcW w:w="2800" w:type="dxa"/>
            <w:shd w:val="clear" w:color="auto" w:fill="D5EBF9"/>
            <w:tcMar>
              <w:top w:w="115" w:type="dxa"/>
              <w:left w:w="115" w:type="dxa"/>
              <w:bottom w:w="115" w:type="dxa"/>
              <w:right w:w="115" w:type="dxa"/>
            </w:tcMar>
          </w:tcPr>
          <w:p w14:paraId="19ECC0DD" w14:textId="77777777" w:rsidR="00B06FF2" w:rsidRPr="00DC1CA0" w:rsidRDefault="00B06FF2" w:rsidP="00D76450">
            <w:pPr>
              <w:spacing w:after="0" w:line="240" w:lineRule="auto"/>
            </w:pPr>
            <w:r>
              <w:t xml:space="preserve">Emergency fund + goals </w:t>
            </w:r>
          </w:p>
        </w:tc>
      </w:tr>
      <w:bookmarkEnd w:id="0"/>
    </w:tbl>
    <w:p w14:paraId="6791841E" w14:textId="77777777" w:rsidR="00B06FF2" w:rsidRDefault="00B06FF2" w:rsidP="00B06FF2">
      <w:pPr>
        <w:spacing w:after="0" w:line="276" w:lineRule="auto"/>
      </w:pPr>
    </w:p>
    <w:p w14:paraId="37B2E536" w14:textId="77777777" w:rsidR="00E776FE" w:rsidRDefault="00000000" w:rsidP="00B06FF2">
      <w:pPr>
        <w:spacing w:after="0" w:line="276" w:lineRule="auto"/>
      </w:pPr>
      <w:r>
        <w:t>A common starting point is the 50/30/20 rule: 50% of income to needs, 30% to wants, 20% to savings. Free tools like YNAB (free for students) or a basic spreadsheet work fine — the tool matters less than reviewing it monthly.</w:t>
      </w:r>
    </w:p>
    <w:p w14:paraId="3DDB7241" w14:textId="77777777" w:rsidR="0039228E" w:rsidRDefault="0039228E" w:rsidP="00B06FF2">
      <w:pPr>
        <w:pStyle w:val="Heading1"/>
        <w:spacing w:before="0" w:after="0" w:line="276" w:lineRule="auto"/>
      </w:pPr>
    </w:p>
    <w:p w14:paraId="6510271A" w14:textId="1FCE067B" w:rsidR="00E776FE" w:rsidRDefault="00000000" w:rsidP="00B06FF2">
      <w:pPr>
        <w:pStyle w:val="Heading1"/>
        <w:spacing w:before="0" w:after="0" w:line="276" w:lineRule="auto"/>
      </w:pPr>
      <w:r>
        <w:t>Needs vs. Wants — and the Gray Zone</w:t>
      </w:r>
    </w:p>
    <w:p w14:paraId="37B8EC29" w14:textId="77777777" w:rsidR="00E776FE" w:rsidRDefault="00000000" w:rsidP="00B06FF2">
      <w:pPr>
        <w:spacing w:after="0" w:line="276" w:lineRule="auto"/>
      </w:pPr>
      <w:r>
        <w:t>Needs are what your student must have to stay healthy and stay in school. Wants improve comfort or enjoyment but aren't essential. Many things sit in between — a laptop is a need, but the top-of-the-line model is a want. The goal isn't a hard rule; it's building the habit of pausing to ask which one a purchase actually is.</w:t>
      </w:r>
    </w:p>
    <w:tbl>
      <w:tblPr>
        <w:tblW w:w="9625" w:type="dxa"/>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CellMar>
          <w:top w:w="15" w:type="dxa"/>
          <w:left w:w="15" w:type="dxa"/>
          <w:bottom w:w="15" w:type="dxa"/>
          <w:right w:w="15" w:type="dxa"/>
        </w:tblCellMar>
        <w:tblLook w:val="0620" w:firstRow="1" w:lastRow="0" w:firstColumn="0" w:lastColumn="0" w:noHBand="1" w:noVBand="1"/>
      </w:tblPr>
      <w:tblGrid>
        <w:gridCol w:w="5400"/>
        <w:gridCol w:w="4225"/>
      </w:tblGrid>
      <w:tr w:rsidR="00E776FE" w14:paraId="3C71AC18" w14:textId="77777777" w:rsidTr="00D76450">
        <w:trPr>
          <w:tblHeader/>
        </w:trPr>
        <w:tc>
          <w:tcPr>
            <w:tcW w:w="5400" w:type="dxa"/>
            <w:shd w:val="clear" w:color="auto" w:fill="285781"/>
            <w:tcMar>
              <w:top w:w="80" w:type="dxa"/>
              <w:left w:w="115" w:type="dxa"/>
              <w:bottom w:w="80" w:type="dxa"/>
              <w:right w:w="115" w:type="dxa"/>
            </w:tcMar>
            <w:vAlign w:val="center"/>
          </w:tcPr>
          <w:p w14:paraId="4C48A0F5" w14:textId="77777777" w:rsidR="00E776FE" w:rsidRDefault="00000000" w:rsidP="00B06FF2">
            <w:pPr>
              <w:spacing w:after="0" w:line="276" w:lineRule="auto"/>
            </w:pPr>
            <w:r>
              <w:rPr>
                <w:b/>
                <w:bCs/>
                <w:color w:val="FFFFFF" w:themeColor="background1"/>
              </w:rPr>
              <w:lastRenderedPageBreak/>
              <w:t>Need</w:t>
            </w:r>
          </w:p>
        </w:tc>
        <w:tc>
          <w:tcPr>
            <w:tcW w:w="4225" w:type="dxa"/>
            <w:shd w:val="clear" w:color="auto" w:fill="285781"/>
            <w:tcMar>
              <w:top w:w="80" w:type="dxa"/>
              <w:left w:w="115" w:type="dxa"/>
              <w:bottom w:w="80" w:type="dxa"/>
              <w:right w:w="115" w:type="dxa"/>
            </w:tcMar>
            <w:vAlign w:val="center"/>
          </w:tcPr>
          <w:p w14:paraId="1953BC76" w14:textId="77777777" w:rsidR="00E776FE" w:rsidRDefault="00000000" w:rsidP="00B06FF2">
            <w:pPr>
              <w:spacing w:after="0" w:line="276" w:lineRule="auto"/>
            </w:pPr>
            <w:r>
              <w:rPr>
                <w:b/>
                <w:bCs/>
                <w:color w:val="FFFFFF" w:themeColor="background1"/>
              </w:rPr>
              <w:t>Related want</w:t>
            </w:r>
          </w:p>
        </w:tc>
      </w:tr>
      <w:tr w:rsidR="00E776FE" w14:paraId="4430FD50" w14:textId="77777777" w:rsidTr="00D76450">
        <w:tc>
          <w:tcPr>
            <w:tcW w:w="5400" w:type="dxa"/>
            <w:tcMar>
              <w:top w:w="80" w:type="dxa"/>
              <w:left w:w="115" w:type="dxa"/>
              <w:bottom w:w="80" w:type="dxa"/>
              <w:right w:w="115" w:type="dxa"/>
            </w:tcMar>
            <w:vAlign w:val="center"/>
          </w:tcPr>
          <w:p w14:paraId="6FE3FB85" w14:textId="77777777" w:rsidR="00E776FE" w:rsidRPr="00BA2DEC" w:rsidRDefault="00000000" w:rsidP="00B06FF2">
            <w:pPr>
              <w:spacing w:after="0" w:line="276" w:lineRule="auto"/>
            </w:pPr>
            <w:r w:rsidRPr="00BA2DEC">
              <w:t>Rent / housing</w:t>
            </w:r>
          </w:p>
        </w:tc>
        <w:tc>
          <w:tcPr>
            <w:tcW w:w="4225" w:type="dxa"/>
            <w:tcMar>
              <w:top w:w="80" w:type="dxa"/>
              <w:left w:w="115" w:type="dxa"/>
              <w:bottom w:w="80" w:type="dxa"/>
              <w:right w:w="115" w:type="dxa"/>
            </w:tcMar>
            <w:vAlign w:val="center"/>
          </w:tcPr>
          <w:p w14:paraId="1834FF40" w14:textId="77777777" w:rsidR="00E776FE" w:rsidRDefault="00000000" w:rsidP="00B06FF2">
            <w:pPr>
              <w:spacing w:after="0" w:line="276" w:lineRule="auto"/>
            </w:pPr>
            <w:r>
              <w:rPr>
                <w:color w:val="000000" w:themeColor="text1"/>
              </w:rPr>
              <w:t>Living alone instead of with roommates</w:t>
            </w:r>
          </w:p>
        </w:tc>
      </w:tr>
      <w:tr w:rsidR="00E776FE" w14:paraId="3B2A5A69" w14:textId="77777777" w:rsidTr="00D76450">
        <w:tc>
          <w:tcPr>
            <w:tcW w:w="5400" w:type="dxa"/>
            <w:tcMar>
              <w:top w:w="80" w:type="dxa"/>
              <w:left w:w="115" w:type="dxa"/>
              <w:bottom w:w="80" w:type="dxa"/>
              <w:right w:w="115" w:type="dxa"/>
            </w:tcMar>
            <w:vAlign w:val="center"/>
          </w:tcPr>
          <w:p w14:paraId="2672AF58" w14:textId="77777777" w:rsidR="00E776FE" w:rsidRPr="00BA2DEC" w:rsidRDefault="00000000" w:rsidP="00B06FF2">
            <w:pPr>
              <w:spacing w:after="0" w:line="276" w:lineRule="auto"/>
            </w:pPr>
            <w:r w:rsidRPr="00BA2DEC">
              <w:t>Groceries</w:t>
            </w:r>
          </w:p>
        </w:tc>
        <w:tc>
          <w:tcPr>
            <w:tcW w:w="4225" w:type="dxa"/>
            <w:tcMar>
              <w:top w:w="80" w:type="dxa"/>
              <w:left w:w="115" w:type="dxa"/>
              <w:bottom w:w="80" w:type="dxa"/>
              <w:right w:w="115" w:type="dxa"/>
            </w:tcMar>
            <w:vAlign w:val="center"/>
          </w:tcPr>
          <w:p w14:paraId="18BD8F2C" w14:textId="77777777" w:rsidR="00E776FE" w:rsidRDefault="00000000" w:rsidP="00B06FF2">
            <w:pPr>
              <w:spacing w:after="0" w:line="276" w:lineRule="auto"/>
            </w:pPr>
            <w:r>
              <w:rPr>
                <w:color w:val="000000" w:themeColor="text1"/>
              </w:rPr>
              <w:t>Eating out, delivery fees, specialty drinks</w:t>
            </w:r>
          </w:p>
        </w:tc>
      </w:tr>
      <w:tr w:rsidR="00E776FE" w14:paraId="503F7F89" w14:textId="77777777" w:rsidTr="00D76450">
        <w:tc>
          <w:tcPr>
            <w:tcW w:w="5400" w:type="dxa"/>
            <w:tcMar>
              <w:top w:w="80" w:type="dxa"/>
              <w:left w:w="115" w:type="dxa"/>
              <w:bottom w:w="80" w:type="dxa"/>
              <w:right w:w="115" w:type="dxa"/>
            </w:tcMar>
            <w:vAlign w:val="center"/>
          </w:tcPr>
          <w:p w14:paraId="62DB364C" w14:textId="77777777" w:rsidR="00E776FE" w:rsidRPr="00BA2DEC" w:rsidRDefault="00000000" w:rsidP="00B06FF2">
            <w:pPr>
              <w:spacing w:after="0" w:line="276" w:lineRule="auto"/>
            </w:pPr>
            <w:r w:rsidRPr="00BA2DEC">
              <w:t>Required textbooks</w:t>
            </w:r>
          </w:p>
        </w:tc>
        <w:tc>
          <w:tcPr>
            <w:tcW w:w="4225" w:type="dxa"/>
            <w:tcMar>
              <w:top w:w="80" w:type="dxa"/>
              <w:left w:w="115" w:type="dxa"/>
              <w:bottom w:w="80" w:type="dxa"/>
              <w:right w:w="115" w:type="dxa"/>
            </w:tcMar>
            <w:vAlign w:val="center"/>
          </w:tcPr>
          <w:p w14:paraId="0EBEFEBE" w14:textId="77777777" w:rsidR="00E776FE" w:rsidRDefault="00000000" w:rsidP="00B06FF2">
            <w:pPr>
              <w:spacing w:after="0" w:line="276" w:lineRule="auto"/>
            </w:pPr>
            <w:r>
              <w:rPr>
                <w:color w:val="000000" w:themeColor="text1"/>
              </w:rPr>
              <w:t>New copy vs. used, rented, or library</w:t>
            </w:r>
          </w:p>
        </w:tc>
      </w:tr>
      <w:tr w:rsidR="00E776FE" w14:paraId="163CFB62" w14:textId="77777777" w:rsidTr="00D76450">
        <w:tc>
          <w:tcPr>
            <w:tcW w:w="5400" w:type="dxa"/>
            <w:tcMar>
              <w:top w:w="80" w:type="dxa"/>
              <w:left w:w="115" w:type="dxa"/>
              <w:bottom w:w="80" w:type="dxa"/>
              <w:right w:w="115" w:type="dxa"/>
            </w:tcMar>
            <w:vAlign w:val="center"/>
          </w:tcPr>
          <w:p w14:paraId="2F0C93AC" w14:textId="77777777" w:rsidR="00E776FE" w:rsidRPr="00BA2DEC" w:rsidRDefault="00000000" w:rsidP="00B06FF2">
            <w:pPr>
              <w:spacing w:after="0" w:line="276" w:lineRule="auto"/>
            </w:pPr>
            <w:r w:rsidRPr="00BA2DEC">
              <w:t>Reliable transportation</w:t>
            </w:r>
          </w:p>
        </w:tc>
        <w:tc>
          <w:tcPr>
            <w:tcW w:w="4225" w:type="dxa"/>
            <w:tcMar>
              <w:top w:w="80" w:type="dxa"/>
              <w:left w:w="115" w:type="dxa"/>
              <w:bottom w:w="80" w:type="dxa"/>
              <w:right w:w="115" w:type="dxa"/>
            </w:tcMar>
            <w:vAlign w:val="center"/>
          </w:tcPr>
          <w:p w14:paraId="1089EC5A" w14:textId="77777777" w:rsidR="00E776FE" w:rsidRDefault="00000000" w:rsidP="00B06FF2">
            <w:pPr>
              <w:spacing w:after="0" w:line="276" w:lineRule="auto"/>
            </w:pPr>
            <w:r>
              <w:rPr>
                <w:color w:val="000000" w:themeColor="text1"/>
              </w:rPr>
              <w:t>Daily rideshares vs. bus pass + walking</w:t>
            </w:r>
          </w:p>
        </w:tc>
      </w:tr>
    </w:tbl>
    <w:p w14:paraId="48B06F3A" w14:textId="77777777" w:rsidR="00E776FE" w:rsidRDefault="00000000" w:rsidP="00B06FF2">
      <w:pPr>
        <w:spacing w:after="0" w:line="276" w:lineRule="auto"/>
      </w:pPr>
      <w:r>
        <w:t>A useful household rule: wait 24 hours on any unplanned purchase over $20. Most urges pass on their own.</w:t>
      </w:r>
    </w:p>
    <w:p w14:paraId="41D0D9C9" w14:textId="77777777" w:rsidR="0039228E" w:rsidRDefault="0039228E" w:rsidP="00B06FF2">
      <w:pPr>
        <w:spacing w:after="0" w:line="276" w:lineRule="auto"/>
      </w:pPr>
    </w:p>
    <w:p w14:paraId="33A7D19F" w14:textId="77777777" w:rsidR="00E776FE" w:rsidRDefault="00000000" w:rsidP="00B06FF2">
      <w:pPr>
        <w:pStyle w:val="Heading1"/>
        <w:spacing w:before="0" w:after="0" w:line="276" w:lineRule="auto"/>
      </w:pPr>
      <w:r>
        <w:t>How Small Purchases Add Up</w:t>
      </w:r>
    </w:p>
    <w:p w14:paraId="48219A87" w14:textId="68B95A4B" w:rsidR="00E776FE" w:rsidRDefault="00000000" w:rsidP="00B06FF2">
      <w:pPr>
        <w:spacing w:after="0" w:line="276" w:lineRule="auto"/>
      </w:pPr>
      <w:r>
        <w:t>Nobody goes broke on one coffee. But small, repeated purchases are invisible until someone</w:t>
      </w:r>
      <w:r w:rsidR="00D76450">
        <w:t xml:space="preserve"> </w:t>
      </w:r>
      <w:r>
        <w:t>adds them up — and the total is usually higher than expected.</w:t>
      </w:r>
    </w:p>
    <w:tbl>
      <w:tblPr>
        <w:tblW w:w="9715" w:type="dxa"/>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CellMar>
          <w:top w:w="15" w:type="dxa"/>
          <w:left w:w="15" w:type="dxa"/>
          <w:bottom w:w="15" w:type="dxa"/>
          <w:right w:w="15" w:type="dxa"/>
        </w:tblCellMar>
        <w:tblLook w:val="0620" w:firstRow="1" w:lastRow="0" w:firstColumn="0" w:lastColumn="0" w:noHBand="1" w:noVBand="1"/>
      </w:tblPr>
      <w:tblGrid>
        <w:gridCol w:w="4312"/>
        <w:gridCol w:w="1265"/>
        <w:gridCol w:w="4138"/>
      </w:tblGrid>
      <w:tr w:rsidR="00E776FE" w14:paraId="1296A50F" w14:textId="77777777" w:rsidTr="00D76450">
        <w:trPr>
          <w:tblHeader/>
        </w:trPr>
        <w:tc>
          <w:tcPr>
            <w:tcW w:w="4315" w:type="dxa"/>
            <w:shd w:val="clear" w:color="auto" w:fill="285781"/>
            <w:tcMar>
              <w:top w:w="80" w:type="dxa"/>
              <w:left w:w="115" w:type="dxa"/>
              <w:bottom w:w="80" w:type="dxa"/>
              <w:right w:w="115" w:type="dxa"/>
            </w:tcMar>
            <w:vAlign w:val="center"/>
          </w:tcPr>
          <w:p w14:paraId="4C31F7BF" w14:textId="77777777" w:rsidR="00E776FE" w:rsidRDefault="00000000" w:rsidP="00B06FF2">
            <w:pPr>
              <w:spacing w:after="0" w:line="276" w:lineRule="auto"/>
            </w:pPr>
            <w:r>
              <w:rPr>
                <w:b/>
                <w:bCs/>
                <w:color w:val="FFFFFF" w:themeColor="background1"/>
              </w:rPr>
              <w:t>Purchase</w:t>
            </w:r>
          </w:p>
        </w:tc>
        <w:tc>
          <w:tcPr>
            <w:tcW w:w="1260" w:type="dxa"/>
            <w:shd w:val="clear" w:color="auto" w:fill="285781"/>
            <w:tcMar>
              <w:top w:w="80" w:type="dxa"/>
              <w:left w:w="115" w:type="dxa"/>
              <w:bottom w:w="80" w:type="dxa"/>
              <w:right w:w="115" w:type="dxa"/>
            </w:tcMar>
            <w:vAlign w:val="center"/>
          </w:tcPr>
          <w:p w14:paraId="33FA37E6" w14:textId="77777777" w:rsidR="00E776FE" w:rsidRDefault="00000000" w:rsidP="00B06FF2">
            <w:pPr>
              <w:spacing w:after="0" w:line="276" w:lineRule="auto"/>
              <w:jc w:val="center"/>
            </w:pPr>
            <w:r>
              <w:rPr>
                <w:b/>
                <w:bCs/>
                <w:color w:val="FFFFFF" w:themeColor="background1"/>
              </w:rPr>
              <w:t>Frequency</w:t>
            </w:r>
          </w:p>
        </w:tc>
        <w:tc>
          <w:tcPr>
            <w:tcW w:w="4140" w:type="dxa"/>
            <w:shd w:val="clear" w:color="auto" w:fill="285781"/>
            <w:tcMar>
              <w:top w:w="80" w:type="dxa"/>
              <w:left w:w="115" w:type="dxa"/>
              <w:bottom w:w="80" w:type="dxa"/>
              <w:right w:w="115" w:type="dxa"/>
            </w:tcMar>
            <w:vAlign w:val="center"/>
          </w:tcPr>
          <w:p w14:paraId="213F4068" w14:textId="77777777" w:rsidR="00E776FE" w:rsidRDefault="00000000" w:rsidP="00B06FF2">
            <w:pPr>
              <w:spacing w:after="0" w:line="276" w:lineRule="auto"/>
              <w:jc w:val="center"/>
            </w:pPr>
            <w:r>
              <w:rPr>
                <w:b/>
                <w:bCs/>
                <w:color w:val="FFFFFF" w:themeColor="background1"/>
              </w:rPr>
              <w:t>Annual cost</w:t>
            </w:r>
          </w:p>
        </w:tc>
      </w:tr>
      <w:tr w:rsidR="00E776FE" w14:paraId="72CC097A" w14:textId="77777777" w:rsidTr="00D76450">
        <w:tc>
          <w:tcPr>
            <w:tcW w:w="4315" w:type="dxa"/>
            <w:tcMar>
              <w:top w:w="80" w:type="dxa"/>
              <w:left w:w="115" w:type="dxa"/>
              <w:bottom w:w="80" w:type="dxa"/>
              <w:right w:w="115" w:type="dxa"/>
            </w:tcMar>
          </w:tcPr>
          <w:p w14:paraId="3846EAAB" w14:textId="77777777" w:rsidR="00E776FE" w:rsidRDefault="00000000" w:rsidP="00D76450">
            <w:pPr>
              <w:spacing w:after="0" w:line="240" w:lineRule="auto"/>
            </w:pPr>
            <w:r>
              <w:rPr>
                <w:color w:val="000000" w:themeColor="text1"/>
              </w:rPr>
              <w:t>$5 coffee</w:t>
            </w:r>
          </w:p>
        </w:tc>
        <w:tc>
          <w:tcPr>
            <w:tcW w:w="1260" w:type="dxa"/>
            <w:tcMar>
              <w:top w:w="80" w:type="dxa"/>
              <w:left w:w="115" w:type="dxa"/>
              <w:bottom w:w="80" w:type="dxa"/>
              <w:right w:w="115" w:type="dxa"/>
            </w:tcMar>
          </w:tcPr>
          <w:p w14:paraId="13A58122" w14:textId="77777777" w:rsidR="00E776FE" w:rsidRDefault="00000000" w:rsidP="00D76450">
            <w:pPr>
              <w:spacing w:after="0" w:line="240" w:lineRule="auto"/>
            </w:pPr>
            <w:r>
              <w:rPr>
                <w:color w:val="000000" w:themeColor="text1"/>
              </w:rPr>
              <w:t>5x/week</w:t>
            </w:r>
          </w:p>
        </w:tc>
        <w:tc>
          <w:tcPr>
            <w:tcW w:w="4140" w:type="dxa"/>
            <w:tcMar>
              <w:top w:w="80" w:type="dxa"/>
              <w:left w:w="115" w:type="dxa"/>
              <w:bottom w:w="80" w:type="dxa"/>
              <w:right w:w="115" w:type="dxa"/>
            </w:tcMar>
          </w:tcPr>
          <w:p w14:paraId="4F57B51D" w14:textId="77777777" w:rsidR="00E776FE" w:rsidRDefault="00000000" w:rsidP="00D76450">
            <w:pPr>
              <w:spacing w:after="0" w:line="240" w:lineRule="auto"/>
            </w:pPr>
            <w:r>
              <w:rPr>
                <w:color w:val="000000" w:themeColor="text1"/>
              </w:rPr>
              <w:t>$1,300</w:t>
            </w:r>
          </w:p>
        </w:tc>
      </w:tr>
      <w:tr w:rsidR="00E776FE" w14:paraId="156037D2" w14:textId="77777777" w:rsidTr="00D76450">
        <w:tc>
          <w:tcPr>
            <w:tcW w:w="4315" w:type="dxa"/>
            <w:tcMar>
              <w:top w:w="80" w:type="dxa"/>
              <w:left w:w="115" w:type="dxa"/>
              <w:bottom w:w="80" w:type="dxa"/>
              <w:right w:w="115" w:type="dxa"/>
            </w:tcMar>
          </w:tcPr>
          <w:p w14:paraId="18947566" w14:textId="77777777" w:rsidR="00E776FE" w:rsidRDefault="00000000" w:rsidP="00D76450">
            <w:pPr>
              <w:spacing w:after="0" w:line="240" w:lineRule="auto"/>
            </w:pPr>
            <w:r>
              <w:rPr>
                <w:color w:val="000000" w:themeColor="text1"/>
              </w:rPr>
              <w:t>$12 lunch out</w:t>
            </w:r>
          </w:p>
        </w:tc>
        <w:tc>
          <w:tcPr>
            <w:tcW w:w="1260" w:type="dxa"/>
            <w:tcMar>
              <w:top w:w="80" w:type="dxa"/>
              <w:left w:w="115" w:type="dxa"/>
              <w:bottom w:w="80" w:type="dxa"/>
              <w:right w:w="115" w:type="dxa"/>
            </w:tcMar>
          </w:tcPr>
          <w:p w14:paraId="12688913" w14:textId="77777777" w:rsidR="00E776FE" w:rsidRDefault="00000000" w:rsidP="00D76450">
            <w:pPr>
              <w:spacing w:after="0" w:line="240" w:lineRule="auto"/>
            </w:pPr>
            <w:r>
              <w:rPr>
                <w:color w:val="000000" w:themeColor="text1"/>
              </w:rPr>
              <w:t>3x/week</w:t>
            </w:r>
          </w:p>
        </w:tc>
        <w:tc>
          <w:tcPr>
            <w:tcW w:w="4140" w:type="dxa"/>
            <w:tcMar>
              <w:top w:w="80" w:type="dxa"/>
              <w:left w:w="115" w:type="dxa"/>
              <w:bottom w:w="80" w:type="dxa"/>
              <w:right w:w="115" w:type="dxa"/>
            </w:tcMar>
          </w:tcPr>
          <w:p w14:paraId="4F5F4829" w14:textId="77777777" w:rsidR="00E776FE" w:rsidRDefault="00000000" w:rsidP="00D76450">
            <w:pPr>
              <w:spacing w:after="0" w:line="240" w:lineRule="auto"/>
            </w:pPr>
            <w:r>
              <w:rPr>
                <w:color w:val="000000" w:themeColor="text1"/>
              </w:rPr>
              <w:t>$1,872</w:t>
            </w:r>
          </w:p>
        </w:tc>
      </w:tr>
      <w:tr w:rsidR="00E776FE" w14:paraId="00296251" w14:textId="77777777" w:rsidTr="00D76450">
        <w:tc>
          <w:tcPr>
            <w:tcW w:w="4315" w:type="dxa"/>
            <w:tcMar>
              <w:top w:w="80" w:type="dxa"/>
              <w:left w:w="115" w:type="dxa"/>
              <w:bottom w:w="80" w:type="dxa"/>
              <w:right w:w="115" w:type="dxa"/>
            </w:tcMar>
          </w:tcPr>
          <w:p w14:paraId="274A2E7C" w14:textId="77777777" w:rsidR="00E776FE" w:rsidRDefault="00000000" w:rsidP="00D76450">
            <w:pPr>
              <w:spacing w:after="0" w:line="240" w:lineRule="auto"/>
            </w:pPr>
            <w:r>
              <w:rPr>
                <w:color w:val="000000" w:themeColor="text1"/>
              </w:rPr>
              <w:t>$8 delivery fee + tip</w:t>
            </w:r>
          </w:p>
        </w:tc>
        <w:tc>
          <w:tcPr>
            <w:tcW w:w="1260" w:type="dxa"/>
            <w:tcMar>
              <w:top w:w="80" w:type="dxa"/>
              <w:left w:w="115" w:type="dxa"/>
              <w:bottom w:w="80" w:type="dxa"/>
              <w:right w:w="115" w:type="dxa"/>
            </w:tcMar>
          </w:tcPr>
          <w:p w14:paraId="63E6118D" w14:textId="77777777" w:rsidR="00E776FE" w:rsidRDefault="00000000" w:rsidP="00D76450">
            <w:pPr>
              <w:spacing w:after="0" w:line="240" w:lineRule="auto"/>
            </w:pPr>
            <w:r>
              <w:rPr>
                <w:color w:val="000000" w:themeColor="text1"/>
              </w:rPr>
              <w:t>2x/week</w:t>
            </w:r>
          </w:p>
        </w:tc>
        <w:tc>
          <w:tcPr>
            <w:tcW w:w="4140" w:type="dxa"/>
            <w:tcMar>
              <w:top w:w="80" w:type="dxa"/>
              <w:left w:w="115" w:type="dxa"/>
              <w:bottom w:w="80" w:type="dxa"/>
              <w:right w:w="115" w:type="dxa"/>
            </w:tcMar>
          </w:tcPr>
          <w:p w14:paraId="0C3C4B82" w14:textId="77777777" w:rsidR="00E776FE" w:rsidRDefault="00000000" w:rsidP="00D76450">
            <w:pPr>
              <w:spacing w:after="0" w:line="240" w:lineRule="auto"/>
            </w:pPr>
            <w:r>
              <w:rPr>
                <w:color w:val="000000" w:themeColor="text1"/>
              </w:rPr>
              <w:t>$832</w:t>
            </w:r>
          </w:p>
        </w:tc>
      </w:tr>
      <w:tr w:rsidR="00E776FE" w14:paraId="707251BB" w14:textId="77777777" w:rsidTr="00D76450">
        <w:tc>
          <w:tcPr>
            <w:tcW w:w="4315" w:type="dxa"/>
            <w:shd w:val="clear" w:color="auto" w:fill="EEEEEE"/>
            <w:tcMar>
              <w:top w:w="80" w:type="dxa"/>
              <w:left w:w="115" w:type="dxa"/>
              <w:bottom w:w="80" w:type="dxa"/>
              <w:right w:w="115" w:type="dxa"/>
            </w:tcMar>
          </w:tcPr>
          <w:p w14:paraId="4EAD77B8" w14:textId="77777777" w:rsidR="00E776FE" w:rsidRDefault="00000000" w:rsidP="00D76450">
            <w:pPr>
              <w:spacing w:after="0" w:line="240" w:lineRule="auto"/>
            </w:pPr>
            <w:r w:rsidRPr="00D76450">
              <w:rPr>
                <w:b/>
                <w:bCs/>
                <w:color w:val="971D20"/>
              </w:rPr>
              <w:t>Combined total</w:t>
            </w:r>
            <w:r>
              <w:rPr>
                <w:b/>
                <w:bCs/>
                <w:color w:val="000000" w:themeColor="text1"/>
              </w:rPr>
              <w:t xml:space="preserve"> </w:t>
            </w:r>
            <w:r w:rsidRPr="00D76450">
              <w:rPr>
                <w:color w:val="000000" w:themeColor="text1"/>
              </w:rPr>
              <w:t>(incl. snacks &amp; streaming)</w:t>
            </w:r>
          </w:p>
        </w:tc>
        <w:tc>
          <w:tcPr>
            <w:tcW w:w="1260" w:type="dxa"/>
            <w:shd w:val="clear" w:color="auto" w:fill="EEEEEE"/>
            <w:tcMar>
              <w:top w:w="80" w:type="dxa"/>
              <w:left w:w="115" w:type="dxa"/>
              <w:bottom w:w="80" w:type="dxa"/>
              <w:right w:w="115" w:type="dxa"/>
            </w:tcMar>
          </w:tcPr>
          <w:p w14:paraId="6FD6B3D2" w14:textId="77777777" w:rsidR="00E776FE" w:rsidRDefault="00000000" w:rsidP="00D76450">
            <w:pPr>
              <w:spacing w:after="0" w:line="240" w:lineRule="auto"/>
            </w:pPr>
            <w:r>
              <w:rPr>
                <w:color w:val="000000" w:themeColor="text1"/>
              </w:rPr>
              <w:t>—</w:t>
            </w:r>
          </w:p>
        </w:tc>
        <w:tc>
          <w:tcPr>
            <w:tcW w:w="4140" w:type="dxa"/>
            <w:shd w:val="clear" w:color="auto" w:fill="EEEEEE"/>
            <w:tcMar>
              <w:top w:w="80" w:type="dxa"/>
              <w:left w:w="115" w:type="dxa"/>
              <w:bottom w:w="80" w:type="dxa"/>
              <w:right w:w="115" w:type="dxa"/>
            </w:tcMar>
          </w:tcPr>
          <w:p w14:paraId="1ABD6FAF" w14:textId="77777777" w:rsidR="00E776FE" w:rsidRDefault="00000000" w:rsidP="00D76450">
            <w:pPr>
              <w:spacing w:after="0" w:line="240" w:lineRule="auto"/>
            </w:pPr>
            <w:r>
              <w:rPr>
                <w:b/>
                <w:bCs/>
                <w:color w:val="000000" w:themeColor="text1"/>
              </w:rPr>
              <w:t>$6,111/yr ≈ 500+ hrs of work at $12/hr</w:t>
            </w:r>
          </w:p>
        </w:tc>
      </w:tr>
    </w:tbl>
    <w:p w14:paraId="6CB665DF" w14:textId="77777777" w:rsidR="00E776FE" w:rsidRDefault="00E776FE" w:rsidP="00B06FF2">
      <w:pPr>
        <w:spacing w:after="0" w:line="276" w:lineRule="auto"/>
      </w:pPr>
    </w:p>
    <w:p w14:paraId="2C6F0E47" w14:textId="77777777" w:rsidR="00E776FE" w:rsidRDefault="00000000" w:rsidP="00B06FF2">
      <w:pPr>
        <w:spacing w:after="0" w:line="276" w:lineRule="auto"/>
      </w:pPr>
      <w:r>
        <w:t>This isn't an argument against ever buying coffee — it's a case for tracking spending for one week. Most students are genuinely surprised by where the leak is.</w:t>
      </w:r>
    </w:p>
    <w:p w14:paraId="352C29DC" w14:textId="77777777" w:rsidR="00D76450" w:rsidRDefault="00D76450" w:rsidP="00B06FF2">
      <w:pPr>
        <w:pStyle w:val="Heading1"/>
        <w:spacing w:before="0" w:after="0" w:line="276" w:lineRule="auto"/>
      </w:pPr>
    </w:p>
    <w:p w14:paraId="3B8393C8" w14:textId="247B9C69" w:rsidR="00E776FE" w:rsidRDefault="00000000" w:rsidP="00B06FF2">
      <w:pPr>
        <w:pStyle w:val="Heading1"/>
        <w:spacing w:before="0" w:after="0" w:line="276" w:lineRule="auto"/>
      </w:pPr>
      <w:r>
        <w:t>Emergency Fund &amp; Financial Safety Nets</w:t>
      </w:r>
    </w:p>
    <w:p w14:paraId="41C93F44" w14:textId="77777777" w:rsidR="00E776FE" w:rsidRDefault="00000000" w:rsidP="00B06FF2">
      <w:pPr>
        <w:spacing w:after="0" w:line="276" w:lineRule="auto"/>
      </w:pPr>
      <w:r>
        <w:t>Financial experts recommend 3–6 months of expenses in savings for adults, but for a college student even a starter fund makes a real difference. Saving $10/week reaches $500 in under a year.</w:t>
      </w:r>
    </w:p>
    <w:p w14:paraId="3B64C8E4" w14:textId="77777777" w:rsidR="00D76450" w:rsidRDefault="00D76450" w:rsidP="00B06FF2">
      <w:pPr>
        <w:spacing w:after="0" w:line="276" w:lineRule="auto"/>
      </w:pPr>
    </w:p>
    <w:tbl>
      <w:tblPr>
        <w:tblW w:w="9805" w:type="dxa"/>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CellMar>
          <w:top w:w="15" w:type="dxa"/>
          <w:left w:w="15" w:type="dxa"/>
          <w:bottom w:w="15" w:type="dxa"/>
          <w:right w:w="15" w:type="dxa"/>
        </w:tblCellMar>
        <w:tblLook w:val="0620" w:firstRow="1" w:lastRow="0" w:firstColumn="0" w:lastColumn="0" w:noHBand="1" w:noVBand="1"/>
      </w:tblPr>
      <w:tblGrid>
        <w:gridCol w:w="3200"/>
        <w:gridCol w:w="2400"/>
        <w:gridCol w:w="4205"/>
      </w:tblGrid>
      <w:tr w:rsidR="00E776FE" w14:paraId="217F1FCC" w14:textId="77777777" w:rsidTr="00D76450">
        <w:trPr>
          <w:tblHeader/>
        </w:trPr>
        <w:tc>
          <w:tcPr>
            <w:tcW w:w="3200" w:type="dxa"/>
            <w:shd w:val="clear" w:color="auto" w:fill="285781"/>
            <w:tcMar>
              <w:top w:w="80" w:type="dxa"/>
              <w:left w:w="115" w:type="dxa"/>
              <w:bottom w:w="80" w:type="dxa"/>
              <w:right w:w="115" w:type="dxa"/>
            </w:tcMar>
            <w:vAlign w:val="center"/>
          </w:tcPr>
          <w:p w14:paraId="608CE4D9" w14:textId="77777777" w:rsidR="00E776FE" w:rsidRDefault="00000000" w:rsidP="00D76450">
            <w:pPr>
              <w:spacing w:after="0" w:line="240" w:lineRule="auto"/>
            </w:pPr>
            <w:r>
              <w:rPr>
                <w:b/>
                <w:bCs/>
                <w:color w:val="FFFFFF" w:themeColor="background1"/>
              </w:rPr>
              <w:t>Level</w:t>
            </w:r>
          </w:p>
        </w:tc>
        <w:tc>
          <w:tcPr>
            <w:tcW w:w="2400" w:type="dxa"/>
            <w:shd w:val="clear" w:color="auto" w:fill="285781"/>
            <w:tcMar>
              <w:top w:w="80" w:type="dxa"/>
              <w:left w:w="115" w:type="dxa"/>
              <w:bottom w:w="80" w:type="dxa"/>
              <w:right w:w="115" w:type="dxa"/>
            </w:tcMar>
            <w:vAlign w:val="center"/>
          </w:tcPr>
          <w:p w14:paraId="18344E2C" w14:textId="77777777" w:rsidR="00E776FE" w:rsidRDefault="00000000" w:rsidP="00D76450">
            <w:pPr>
              <w:spacing w:after="0" w:line="240" w:lineRule="auto"/>
              <w:jc w:val="center"/>
            </w:pPr>
            <w:r>
              <w:rPr>
                <w:b/>
                <w:bCs/>
                <w:color w:val="FFFFFF" w:themeColor="background1"/>
              </w:rPr>
              <w:t>Target</w:t>
            </w:r>
          </w:p>
        </w:tc>
        <w:tc>
          <w:tcPr>
            <w:tcW w:w="4205" w:type="dxa"/>
            <w:shd w:val="clear" w:color="auto" w:fill="285781"/>
            <w:tcMar>
              <w:top w:w="80" w:type="dxa"/>
              <w:left w:w="115" w:type="dxa"/>
              <w:bottom w:w="80" w:type="dxa"/>
              <w:right w:w="115" w:type="dxa"/>
            </w:tcMar>
            <w:vAlign w:val="center"/>
          </w:tcPr>
          <w:p w14:paraId="29A7B2B2" w14:textId="77777777" w:rsidR="00E776FE" w:rsidRDefault="00000000" w:rsidP="00D76450">
            <w:pPr>
              <w:spacing w:after="0" w:line="240" w:lineRule="auto"/>
            </w:pPr>
            <w:r>
              <w:rPr>
                <w:b/>
                <w:bCs/>
                <w:color w:val="FFFFFF" w:themeColor="background1"/>
              </w:rPr>
              <w:t>Covers</w:t>
            </w:r>
          </w:p>
        </w:tc>
      </w:tr>
      <w:tr w:rsidR="00E776FE" w14:paraId="483333BA" w14:textId="77777777" w:rsidTr="00D76450">
        <w:tc>
          <w:tcPr>
            <w:tcW w:w="3200" w:type="dxa"/>
            <w:tcMar>
              <w:top w:w="80" w:type="dxa"/>
              <w:left w:w="115" w:type="dxa"/>
              <w:bottom w:w="80" w:type="dxa"/>
              <w:right w:w="115" w:type="dxa"/>
            </w:tcMar>
          </w:tcPr>
          <w:p w14:paraId="24F39360" w14:textId="77777777" w:rsidR="00E776FE" w:rsidRPr="00D76450" w:rsidRDefault="00000000" w:rsidP="00D76450">
            <w:pPr>
              <w:spacing w:after="0" w:line="240" w:lineRule="auto"/>
              <w:rPr>
                <w:b/>
                <w:bCs/>
                <w:color w:val="971D20"/>
              </w:rPr>
            </w:pPr>
            <w:r w:rsidRPr="00D76450">
              <w:rPr>
                <w:b/>
                <w:bCs/>
                <w:color w:val="971D20"/>
              </w:rPr>
              <w:t>Starter fund</w:t>
            </w:r>
          </w:p>
        </w:tc>
        <w:tc>
          <w:tcPr>
            <w:tcW w:w="2400" w:type="dxa"/>
            <w:tcMar>
              <w:top w:w="80" w:type="dxa"/>
              <w:left w:w="115" w:type="dxa"/>
              <w:bottom w:w="80" w:type="dxa"/>
              <w:right w:w="115" w:type="dxa"/>
            </w:tcMar>
          </w:tcPr>
          <w:p w14:paraId="2F69A18B" w14:textId="77777777" w:rsidR="00E776FE" w:rsidRDefault="00000000" w:rsidP="00D76450">
            <w:pPr>
              <w:spacing w:after="0" w:line="240" w:lineRule="auto"/>
            </w:pPr>
            <w:r>
              <w:rPr>
                <w:color w:val="000000" w:themeColor="text1"/>
              </w:rPr>
              <w:t>$500</w:t>
            </w:r>
          </w:p>
        </w:tc>
        <w:tc>
          <w:tcPr>
            <w:tcW w:w="4205" w:type="dxa"/>
            <w:tcMar>
              <w:top w:w="80" w:type="dxa"/>
              <w:left w:w="115" w:type="dxa"/>
              <w:bottom w:w="80" w:type="dxa"/>
              <w:right w:w="115" w:type="dxa"/>
            </w:tcMar>
          </w:tcPr>
          <w:p w14:paraId="026718E8" w14:textId="77777777" w:rsidR="00E776FE" w:rsidRDefault="00000000" w:rsidP="00D76450">
            <w:pPr>
              <w:spacing w:after="0" w:line="240" w:lineRule="auto"/>
            </w:pPr>
            <w:r>
              <w:rPr>
                <w:color w:val="000000" w:themeColor="text1"/>
              </w:rPr>
              <w:t>Small repairs, copays, minor emergencies</w:t>
            </w:r>
          </w:p>
        </w:tc>
      </w:tr>
      <w:tr w:rsidR="00E776FE" w14:paraId="5155CCF1" w14:textId="77777777" w:rsidTr="00D76450">
        <w:tc>
          <w:tcPr>
            <w:tcW w:w="3200" w:type="dxa"/>
            <w:tcMar>
              <w:top w:w="80" w:type="dxa"/>
              <w:left w:w="115" w:type="dxa"/>
              <w:bottom w:w="80" w:type="dxa"/>
              <w:right w:w="115" w:type="dxa"/>
            </w:tcMar>
          </w:tcPr>
          <w:p w14:paraId="6F54504B" w14:textId="77777777" w:rsidR="00E776FE" w:rsidRPr="00D76450" w:rsidRDefault="00000000" w:rsidP="00D76450">
            <w:pPr>
              <w:spacing w:after="0" w:line="240" w:lineRule="auto"/>
              <w:rPr>
                <w:b/>
                <w:bCs/>
                <w:color w:val="971D20"/>
              </w:rPr>
            </w:pPr>
            <w:r w:rsidRPr="00D76450">
              <w:rPr>
                <w:b/>
                <w:bCs/>
                <w:color w:val="971D20"/>
              </w:rPr>
              <w:t>Basic fund</w:t>
            </w:r>
          </w:p>
        </w:tc>
        <w:tc>
          <w:tcPr>
            <w:tcW w:w="2400" w:type="dxa"/>
            <w:tcMar>
              <w:top w:w="80" w:type="dxa"/>
              <w:left w:w="115" w:type="dxa"/>
              <w:bottom w:w="80" w:type="dxa"/>
              <w:right w:w="115" w:type="dxa"/>
            </w:tcMar>
          </w:tcPr>
          <w:p w14:paraId="10994968" w14:textId="77777777" w:rsidR="00E776FE" w:rsidRDefault="00000000" w:rsidP="00D76450">
            <w:pPr>
              <w:spacing w:after="0" w:line="240" w:lineRule="auto"/>
            </w:pPr>
            <w:r>
              <w:rPr>
                <w:color w:val="000000" w:themeColor="text1"/>
              </w:rPr>
              <w:t>$1,000</w:t>
            </w:r>
          </w:p>
        </w:tc>
        <w:tc>
          <w:tcPr>
            <w:tcW w:w="4205" w:type="dxa"/>
            <w:tcMar>
              <w:top w:w="80" w:type="dxa"/>
              <w:left w:w="115" w:type="dxa"/>
              <w:bottom w:w="80" w:type="dxa"/>
              <w:right w:w="115" w:type="dxa"/>
            </w:tcMar>
          </w:tcPr>
          <w:p w14:paraId="63A1CD81" w14:textId="77777777" w:rsidR="00E776FE" w:rsidRDefault="00000000" w:rsidP="00D76450">
            <w:pPr>
              <w:spacing w:after="0" w:line="240" w:lineRule="auto"/>
            </w:pPr>
            <w:r>
              <w:rPr>
                <w:color w:val="000000" w:themeColor="text1"/>
              </w:rPr>
              <w:t>Most single-event emergencies</w:t>
            </w:r>
          </w:p>
        </w:tc>
      </w:tr>
      <w:tr w:rsidR="00E776FE" w14:paraId="0C7DC30C" w14:textId="77777777" w:rsidTr="00D76450">
        <w:tc>
          <w:tcPr>
            <w:tcW w:w="3200" w:type="dxa"/>
            <w:tcMar>
              <w:top w:w="80" w:type="dxa"/>
              <w:left w:w="115" w:type="dxa"/>
              <w:bottom w:w="80" w:type="dxa"/>
              <w:right w:w="115" w:type="dxa"/>
            </w:tcMar>
          </w:tcPr>
          <w:p w14:paraId="63A415C9" w14:textId="77777777" w:rsidR="00E776FE" w:rsidRPr="00D76450" w:rsidRDefault="00000000" w:rsidP="00D76450">
            <w:pPr>
              <w:spacing w:after="0" w:line="240" w:lineRule="auto"/>
              <w:rPr>
                <w:b/>
                <w:bCs/>
                <w:color w:val="971D20"/>
              </w:rPr>
            </w:pPr>
            <w:r w:rsidRPr="00D76450">
              <w:rPr>
                <w:b/>
                <w:bCs/>
                <w:color w:val="971D20"/>
              </w:rPr>
              <w:t>Solid fund</w:t>
            </w:r>
          </w:p>
        </w:tc>
        <w:tc>
          <w:tcPr>
            <w:tcW w:w="2400" w:type="dxa"/>
            <w:tcMar>
              <w:top w:w="80" w:type="dxa"/>
              <w:left w:w="115" w:type="dxa"/>
              <w:bottom w:w="80" w:type="dxa"/>
              <w:right w:w="115" w:type="dxa"/>
            </w:tcMar>
          </w:tcPr>
          <w:p w14:paraId="28E4B0DD" w14:textId="77777777" w:rsidR="00E776FE" w:rsidRDefault="00000000" w:rsidP="00D76450">
            <w:pPr>
              <w:spacing w:after="0" w:line="240" w:lineRule="auto"/>
            </w:pPr>
            <w:r>
              <w:rPr>
                <w:color w:val="000000" w:themeColor="text1"/>
              </w:rPr>
              <w:t>$2,000–$3,000</w:t>
            </w:r>
          </w:p>
        </w:tc>
        <w:tc>
          <w:tcPr>
            <w:tcW w:w="4205" w:type="dxa"/>
            <w:tcMar>
              <w:top w:w="80" w:type="dxa"/>
              <w:left w:w="115" w:type="dxa"/>
              <w:bottom w:w="80" w:type="dxa"/>
              <w:right w:w="115" w:type="dxa"/>
            </w:tcMar>
          </w:tcPr>
          <w:p w14:paraId="6861D6E3" w14:textId="77777777" w:rsidR="00E776FE" w:rsidRDefault="00000000" w:rsidP="00D76450">
            <w:pPr>
              <w:spacing w:after="0" w:line="240" w:lineRule="auto"/>
            </w:pPr>
            <w:r>
              <w:rPr>
                <w:color w:val="000000" w:themeColor="text1"/>
              </w:rPr>
              <w:t>Larger repairs, a month of reduced income</w:t>
            </w:r>
          </w:p>
        </w:tc>
      </w:tr>
    </w:tbl>
    <w:p w14:paraId="4FB04B25" w14:textId="77777777" w:rsidR="00E776FE" w:rsidRDefault="00E776FE" w:rsidP="00B06FF2">
      <w:pPr>
        <w:spacing w:after="0" w:line="276" w:lineRule="auto"/>
      </w:pPr>
    </w:p>
    <w:p w14:paraId="393FB597" w14:textId="77777777" w:rsidR="00E776FE" w:rsidRDefault="00000000" w:rsidP="00B06FF2">
      <w:pPr>
        <w:spacing w:after="0" w:line="276" w:lineRule="auto"/>
      </w:pPr>
      <w:r>
        <w:lastRenderedPageBreak/>
        <w:t>An emergency fund is one safety net — these are others worth knowing about before they're needed:</w:t>
      </w:r>
    </w:p>
    <w:p w14:paraId="5C2631F4" w14:textId="77777777" w:rsidR="00E776FE" w:rsidRDefault="00000000" w:rsidP="00B06FF2">
      <w:pPr>
        <w:pStyle w:val="ListParagraph"/>
        <w:numPr>
          <w:ilvl w:val="0"/>
          <w:numId w:val="4"/>
        </w:numPr>
        <w:spacing w:after="0" w:line="276" w:lineRule="auto"/>
      </w:pPr>
      <w:r>
        <w:t>Campus emergency aid — many colleges offer one-time grants or short-term loans for students in crisis; ask the financial aid office.</w:t>
      </w:r>
    </w:p>
    <w:p w14:paraId="40573E26" w14:textId="77777777" w:rsidR="00E776FE" w:rsidRDefault="00000000" w:rsidP="00B06FF2">
      <w:pPr>
        <w:pStyle w:val="ListParagraph"/>
        <w:numPr>
          <w:ilvl w:val="0"/>
          <w:numId w:val="4"/>
        </w:numPr>
        <w:spacing w:after="0" w:line="276" w:lineRule="auto"/>
      </w:pPr>
      <w:r>
        <w:t>Campus food pantries — free groceries, open to any student with an ID, no questions asked.</w:t>
      </w:r>
    </w:p>
    <w:p w14:paraId="6DF80FD8" w14:textId="77777777" w:rsidR="00E776FE" w:rsidRDefault="00000000" w:rsidP="00B06FF2">
      <w:pPr>
        <w:pStyle w:val="ListParagraph"/>
        <w:numPr>
          <w:ilvl w:val="0"/>
          <w:numId w:val="4"/>
        </w:numPr>
        <w:spacing w:after="0" w:line="276" w:lineRule="auto"/>
      </w:pPr>
      <w:r>
        <w:t>Student employment office — work-study and on-campus jobs for enrolled students.</w:t>
      </w:r>
    </w:p>
    <w:p w14:paraId="6084BBB7" w14:textId="77777777" w:rsidR="00E776FE" w:rsidRDefault="00000000" w:rsidP="00B06FF2">
      <w:pPr>
        <w:pStyle w:val="ListParagraph"/>
        <w:numPr>
          <w:ilvl w:val="0"/>
          <w:numId w:val="4"/>
        </w:numPr>
        <w:spacing w:after="0" w:line="276" w:lineRule="auto"/>
      </w:pPr>
      <w:r>
        <w:t>Community programs — SNAP and Medicaid eligibility rules for students have changed in recent years; more students qualify than before.</w:t>
      </w:r>
    </w:p>
    <w:p w14:paraId="5F224B0C" w14:textId="77777777" w:rsidR="00E776FE" w:rsidRDefault="00000000" w:rsidP="00B06FF2">
      <w:pPr>
        <w:pStyle w:val="ListParagraph"/>
        <w:numPr>
          <w:ilvl w:val="0"/>
          <w:numId w:val="4"/>
        </w:numPr>
        <w:spacing w:after="0" w:line="276" w:lineRule="auto"/>
      </w:pPr>
      <w:r>
        <w:t>Credit as a last resort only — a low-limit card can bridge a true emergency, but the balance should be paid off quickly. Payday loans and cash-advance apps are debt traps, not safety nets.</w:t>
      </w:r>
    </w:p>
    <w:p w14:paraId="41A5F6F5" w14:textId="77777777" w:rsidR="00E776FE" w:rsidRDefault="00E776FE" w:rsidP="00B06FF2">
      <w:pPr>
        <w:spacing w:after="0" w:line="276" w:lineRule="auto"/>
      </w:pPr>
    </w:p>
    <w:p w14:paraId="16FFE88D" w14:textId="77777777" w:rsidR="00E776FE" w:rsidRDefault="00000000" w:rsidP="00B06FF2">
      <w:pPr>
        <w:pStyle w:val="Heading1"/>
        <w:spacing w:before="0" w:after="0" w:line="276" w:lineRule="auto"/>
      </w:pPr>
      <w:r>
        <w:t>Building Credit: The Basics</w:t>
      </w:r>
    </w:p>
    <w:p w14:paraId="72893100" w14:textId="77777777" w:rsidR="00E776FE" w:rsidRDefault="00000000" w:rsidP="00B06FF2">
      <w:pPr>
        <w:spacing w:after="0" w:line="276" w:lineRule="auto"/>
      </w:pPr>
      <w:r>
        <w:t>A credit score is a number lenders use to judge how reliably someone repays borrowed money — it affects apartment applications, car loans, and interest rates for years to come. On-time payments build a strong history; missed or late payments can hurt a score for years. Two low-risk ways for a student to start building credit: a secured credit card (a deposit, often around $500, sets the spending limit) or a credit-builder loan through a bank or credit union (payments are reported to credit bureaus before your student ever touches the money).</w:t>
      </w:r>
    </w:p>
    <w:p w14:paraId="1429CDA8" w14:textId="77777777" w:rsidR="00E776FE" w:rsidRDefault="00E776FE" w:rsidP="00D76450">
      <w:pPr>
        <w:pStyle w:val="ListParagraph"/>
        <w:numPr>
          <w:ilvl w:val="0"/>
          <w:numId w:val="6"/>
        </w:numPr>
        <w:spacing w:after="0" w:line="276" w:lineRule="auto"/>
      </w:pPr>
      <w:hyperlink r:id="rId7" w:history="1">
        <w:r>
          <w:rPr>
            <w:rStyle w:val="Hyperlink"/>
          </w:rPr>
          <w:t>AnnualCreditReport.com</w:t>
        </w:r>
      </w:hyperlink>
      <w:r>
        <w:t xml:space="preserve"> is the only site authorized by federal law to provide free credit reports — worth pointing your student there rather than a lookalike site that charges a fee or sells a subscription.</w:t>
      </w:r>
    </w:p>
    <w:p w14:paraId="30CC8F3B" w14:textId="77777777" w:rsidR="00D76450" w:rsidRDefault="00D76450" w:rsidP="00B06FF2">
      <w:pPr>
        <w:pStyle w:val="Heading1"/>
        <w:spacing w:before="0" w:after="0" w:line="276" w:lineRule="auto"/>
      </w:pPr>
    </w:p>
    <w:p w14:paraId="22C354DD" w14:textId="315BFB83" w:rsidR="00E776FE" w:rsidRDefault="00000000" w:rsidP="00B06FF2">
      <w:pPr>
        <w:pStyle w:val="Heading1"/>
        <w:spacing w:before="0" w:after="0" w:line="276" w:lineRule="auto"/>
      </w:pPr>
      <w:r>
        <w:t>College Student Discounts</w:t>
      </w:r>
    </w:p>
    <w:p w14:paraId="3A9B69EB" w14:textId="77777777" w:rsidR="00E776FE" w:rsidRDefault="00000000" w:rsidP="00B06FF2">
      <w:pPr>
        <w:spacing w:after="0" w:line="276" w:lineRule="auto"/>
      </w:pPr>
      <w:r>
        <w:t>Discounts aren't income, but they keep money from going out the door unnecessarily. Two free services are worth your student signing up for:</w:t>
      </w:r>
    </w:p>
    <w:p w14:paraId="773B28B8" w14:textId="77777777" w:rsidR="00E776FE" w:rsidRDefault="00000000" w:rsidP="00D76450">
      <w:pPr>
        <w:pStyle w:val="ListParagraph"/>
        <w:numPr>
          <w:ilvl w:val="0"/>
          <w:numId w:val="6"/>
        </w:numPr>
        <w:spacing w:after="0" w:line="276" w:lineRule="auto"/>
      </w:pPr>
      <w:r>
        <w:t>UniDays (</w:t>
      </w:r>
      <w:hyperlink r:id="rId8" w:history="1">
        <w:r w:rsidR="00E776FE">
          <w:rPr>
            <w:rStyle w:val="Hyperlink"/>
          </w:rPr>
          <w:t>myunidays.com</w:t>
        </w:r>
      </w:hyperlink>
      <w:r>
        <w:t>) — free verified-student membership with discounts across tech, fashion, food, and software brands.</w:t>
      </w:r>
    </w:p>
    <w:p w14:paraId="33961E92" w14:textId="77777777" w:rsidR="00E776FE" w:rsidRDefault="00000000" w:rsidP="00D76450">
      <w:pPr>
        <w:pStyle w:val="ListParagraph"/>
        <w:numPr>
          <w:ilvl w:val="0"/>
          <w:numId w:val="6"/>
        </w:numPr>
        <w:spacing w:after="0" w:line="276" w:lineRule="auto"/>
      </w:pPr>
      <w:r>
        <w:t>Student Beans (</w:t>
      </w:r>
      <w:hyperlink r:id="rId9" w:history="1">
        <w:r w:rsidR="00E776FE">
          <w:rPr>
            <w:rStyle w:val="Hyperlink"/>
          </w:rPr>
          <w:t>studentbeans.com/us</w:t>
        </w:r>
      </w:hyperlink>
      <w:r>
        <w:t>) — verifies student status with a school email and unlocks deals at major retailers.</w:t>
      </w:r>
    </w:p>
    <w:p w14:paraId="738E3A7E" w14:textId="2B48690A" w:rsidR="00D76450" w:rsidRDefault="00D76450">
      <w:pPr>
        <w:rPr>
          <w:rFonts w:eastAsia="Times New Roman"/>
          <w:b/>
          <w:bCs/>
          <w:color w:val="971D20" w:themeColor="accent3"/>
          <w:kern w:val="36"/>
          <w:shd w:val="clear" w:color="auto" w:fill="FFFFFF"/>
          <w14:ligatures w14:val="none"/>
        </w:rPr>
      </w:pPr>
    </w:p>
    <w:p w14:paraId="211F86F5" w14:textId="2458890B" w:rsidR="00E776FE" w:rsidRDefault="00000000" w:rsidP="00B06FF2">
      <w:pPr>
        <w:pStyle w:val="Heading1"/>
        <w:spacing w:before="0" w:after="0" w:line="276" w:lineRule="auto"/>
      </w:pPr>
      <w:r>
        <w:t>Resources for You as a Parent</w:t>
      </w:r>
    </w:p>
    <w:p w14:paraId="51891628" w14:textId="77777777" w:rsidR="00E776FE" w:rsidRDefault="00000000" w:rsidP="00B06FF2">
      <w:pPr>
        <w:pStyle w:val="ListParagraph"/>
        <w:numPr>
          <w:ilvl w:val="0"/>
          <w:numId w:val="4"/>
        </w:numPr>
        <w:spacing w:after="0" w:line="276" w:lineRule="auto"/>
      </w:pPr>
      <w:r>
        <w:t>Campus coaching — most universities have a free, one-on-one Financial Wellness or Money Coaching office. Two Oklahoma examples: OU's MoneyCoach &amp; Student Financial Center, and OSU's Center for Financial Health and Wellness (Spears School of Business).</w:t>
      </w:r>
    </w:p>
    <w:p w14:paraId="1323DC5E" w14:textId="77777777" w:rsidR="00E776FE" w:rsidRDefault="00E776FE" w:rsidP="00D76450">
      <w:pPr>
        <w:pStyle w:val="ListParagraph"/>
        <w:numPr>
          <w:ilvl w:val="0"/>
          <w:numId w:val="4"/>
        </w:numPr>
        <w:spacing w:after="0" w:line="276" w:lineRule="auto"/>
      </w:pPr>
      <w:hyperlink r:id="rId10" w:history="1">
        <w:r>
          <w:rPr>
            <w:rStyle w:val="Hyperlink"/>
          </w:rPr>
          <w:t>FTC Budget Worksheet</w:t>
        </w:r>
      </w:hyperlink>
      <w:r w:rsidR="00000000">
        <w:t xml:space="preserve"> — a printable income-vs-expenses worksheet to build a first budget together.</w:t>
      </w:r>
    </w:p>
    <w:p w14:paraId="61C9C1D6" w14:textId="77777777" w:rsidR="00E776FE" w:rsidRDefault="00000000" w:rsidP="00D76450">
      <w:pPr>
        <w:pStyle w:val="ListParagraph"/>
        <w:numPr>
          <w:ilvl w:val="0"/>
          <w:numId w:val="4"/>
        </w:numPr>
        <w:spacing w:after="0" w:line="276" w:lineRule="auto"/>
      </w:pPr>
      <w:r>
        <w:lastRenderedPageBreak/>
        <w:t xml:space="preserve">FDIC “How Money Smart Are You?” — </w:t>
      </w:r>
      <w:hyperlink r:id="rId11" w:history="1">
        <w:r w:rsidR="00E776FE">
          <w:rPr>
            <w:rStyle w:val="Hyperlink"/>
          </w:rPr>
          <w:t>playmoneysmart.fdic.gov</w:t>
        </w:r>
      </w:hyperlink>
      <w:r>
        <w:t>, 14 free interactive games on earning, spending, saving, and borrowing.</w:t>
      </w:r>
    </w:p>
    <w:p w14:paraId="141E17B8" w14:textId="77777777" w:rsidR="00E776FE" w:rsidRDefault="00E776FE" w:rsidP="00D76450">
      <w:pPr>
        <w:pStyle w:val="ListParagraph"/>
        <w:numPr>
          <w:ilvl w:val="0"/>
          <w:numId w:val="4"/>
        </w:numPr>
        <w:spacing w:after="0" w:line="276" w:lineRule="auto"/>
      </w:pPr>
      <w:hyperlink r:id="rId12" w:history="1">
        <w:r>
          <w:rPr>
            <w:rStyle w:val="Hyperlink"/>
          </w:rPr>
          <w:t>Consumer.gov</w:t>
        </w:r>
      </w:hyperlink>
      <w:r>
        <w:t xml:space="preserve"> — free FTC articles and videos on budgeting, credit, debt, and scam prevention.</w:t>
      </w:r>
    </w:p>
    <w:p w14:paraId="6180B3AD" w14:textId="77777777" w:rsidR="00E776FE" w:rsidRDefault="00000000" w:rsidP="00D76450">
      <w:pPr>
        <w:pStyle w:val="ListParagraph"/>
        <w:numPr>
          <w:ilvl w:val="0"/>
          <w:numId w:val="4"/>
        </w:numPr>
        <w:spacing w:after="0" w:line="276" w:lineRule="auto"/>
      </w:pPr>
      <w:r>
        <w:t xml:space="preserve">CFPB “Money as You Grow” — </w:t>
      </w:r>
      <w:hyperlink r:id="rId13" w:history="1">
        <w:r w:rsidR="00E776FE">
          <w:rPr>
            <w:rStyle w:val="Hyperlink"/>
          </w:rPr>
          <w:t>consumerfinance.gov/consumer-tools/money-as-you-grow</w:t>
        </w:r>
      </w:hyperlink>
      <w:r>
        <w:t>, free conversation starters and activities for parents and caregivers, spanning ages 3–21.</w:t>
      </w:r>
    </w:p>
    <w:p w14:paraId="2179D8C7" w14:textId="77777777" w:rsidR="00E776FE" w:rsidRDefault="00E776FE" w:rsidP="00D76450">
      <w:pPr>
        <w:pStyle w:val="ListParagraph"/>
        <w:numPr>
          <w:ilvl w:val="0"/>
          <w:numId w:val="4"/>
        </w:numPr>
        <w:spacing w:after="0" w:line="276" w:lineRule="auto"/>
      </w:pPr>
      <w:hyperlink r:id="rId14" w:history="1">
        <w:r>
          <w:rPr>
            <w:rStyle w:val="Hyperlink"/>
          </w:rPr>
          <w:t>MyMoney.gov</w:t>
        </w:r>
      </w:hyperlink>
      <w:r>
        <w:t xml:space="preserve"> — the federal government's financial-education hub, coordinated across 24 federal agencies.</w:t>
      </w:r>
    </w:p>
    <w:p w14:paraId="5A7E1778" w14:textId="77777777" w:rsidR="00E776FE" w:rsidRDefault="00000000" w:rsidP="00D76450">
      <w:pPr>
        <w:pStyle w:val="ListParagraph"/>
        <w:numPr>
          <w:ilvl w:val="0"/>
          <w:numId w:val="4"/>
        </w:numPr>
        <w:spacing w:after="0" w:line="276" w:lineRule="auto"/>
      </w:pPr>
      <w:r>
        <w:t xml:space="preserve">FDIC Money Smart for Young Adults (ages 16–24) — </w:t>
      </w:r>
      <w:hyperlink r:id="rId15" w:history="1">
        <w:r w:rsidR="00E776FE">
          <w:rPr>
            <w:rStyle w:val="Hyperlink"/>
          </w:rPr>
          <w:t>fdic.gov/consumer-resource-center/money-smart-young-adults</w:t>
        </w:r>
      </w:hyperlink>
      <w:r>
        <w:t>, a free curriculum built for this exact life stage; participant guides are downloadable even outside a classroom setting.</w:t>
      </w:r>
    </w:p>
    <w:p w14:paraId="325733E1" w14:textId="77777777" w:rsidR="00E776FE" w:rsidRPr="00D76450" w:rsidRDefault="00000000" w:rsidP="00D76450">
      <w:pPr>
        <w:pStyle w:val="ListParagraph"/>
        <w:numPr>
          <w:ilvl w:val="0"/>
          <w:numId w:val="4"/>
        </w:numPr>
        <w:spacing w:after="0" w:line="276" w:lineRule="auto"/>
      </w:pPr>
      <w:r w:rsidRPr="00D76450">
        <w:t>Most Oklahoma campuses also run a food pantry open to any student with a valid ID — ask your student's financial aid office, or search “[your college] food pantry.”</w:t>
      </w:r>
    </w:p>
    <w:sectPr w:rsidR="00E776FE" w:rsidRPr="00D76450">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05D54F" w14:textId="77777777" w:rsidR="009B7E76" w:rsidRDefault="009B7E76" w:rsidP="00DC1CA0">
      <w:r>
        <w:separator/>
      </w:r>
    </w:p>
  </w:endnote>
  <w:endnote w:type="continuationSeparator" w:id="0">
    <w:p w14:paraId="76D48159" w14:textId="77777777" w:rsidR="009B7E76" w:rsidRDefault="009B7E76"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6A3DE1" w14:textId="77777777" w:rsidR="009A29C9" w:rsidRDefault="009A29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C6D24C"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10C3DF8C" wp14:editId="6FC362D6">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618C2DD7" w14:textId="135DAC96" w:rsidR="009F0B2E" w:rsidRPr="008C5074" w:rsidRDefault="009A29C9" w:rsidP="008C5074">
                          <w:pPr>
                            <w:pStyle w:val="Footer"/>
                          </w:pPr>
                          <w:fldSimple w:instr=" TITLE  \* MERGEFORMAT ">
                            <w:r>
                              <w:t>Money Talks</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C3DF8C"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618C2DD7" w14:textId="135DAC96" w:rsidR="009F0B2E" w:rsidRPr="008C5074" w:rsidRDefault="009A29C9" w:rsidP="008C5074">
                    <w:pPr>
                      <w:pStyle w:val="Footer"/>
                    </w:pPr>
                    <w:fldSimple w:instr=" TITLE  \* MERGEFORMAT ">
                      <w:r>
                        <w:t>Money Talks</w:t>
                      </w:r>
                    </w:fldSimple>
                  </w:p>
                </w:txbxContent>
              </v:textbox>
            </v:shape>
          </w:pict>
        </mc:Fallback>
      </mc:AlternateContent>
    </w:r>
    <w:r>
      <w:rPr>
        <w:noProof/>
      </w:rPr>
      <w:drawing>
        <wp:anchor distT="0" distB="0" distL="114300" distR="114300" simplePos="0" relativeHeight="251662335" behindDoc="1" locked="0" layoutInCell="1" allowOverlap="1" wp14:anchorId="19991A10" wp14:editId="1EF966EC">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rsidR="00304DC6">
      <w:tab/>
    </w:r>
    <w:r w:rsidR="00304DC6">
      <w:tab/>
    </w:r>
    <w:r w:rsidR="00304DC6">
      <w:tab/>
    </w:r>
    <w:r w:rsidR="00304DC6">
      <w:tab/>
    </w:r>
    <w:r w:rsidR="00304DC6">
      <w:tab/>
    </w:r>
    <w:r w:rsidR="00304DC6">
      <w:tab/>
    </w:r>
    <w:r w:rsidR="00304DC6">
      <w:tab/>
    </w:r>
    <w:r w:rsidR="00304DC6">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CF02CB" w14:textId="77777777" w:rsidR="009A29C9" w:rsidRDefault="009A29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EDFFFA" w14:textId="77777777" w:rsidR="009B7E76" w:rsidRDefault="009B7E76" w:rsidP="00DC1CA0">
      <w:r>
        <w:separator/>
      </w:r>
    </w:p>
  </w:footnote>
  <w:footnote w:type="continuationSeparator" w:id="0">
    <w:p w14:paraId="6347E23C" w14:textId="77777777" w:rsidR="009B7E76" w:rsidRDefault="009B7E76"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B6075A" w14:textId="77777777" w:rsidR="009A29C9" w:rsidRDefault="009A29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EC4932" w14:textId="77777777" w:rsidR="009A29C9" w:rsidRDefault="009A29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F37768" w14:textId="77777777" w:rsidR="009A29C9" w:rsidRDefault="009A29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CC07E8"/>
    <w:multiLevelType w:val="hybridMultilevel"/>
    <w:tmpl w:val="E77AE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9B74B9"/>
    <w:multiLevelType w:val="hybridMultilevel"/>
    <w:tmpl w:val="A7064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BE0BCC"/>
    <w:multiLevelType w:val="hybridMultilevel"/>
    <w:tmpl w:val="D6D2BDB0"/>
    <w:lvl w:ilvl="0" w:tplc="0409000F">
      <w:start w:val="1"/>
      <w:numFmt w:val="bullet"/>
      <w:lvlText w:val=""/>
      <w:lvlJc w:val="left"/>
      <w:pPr>
        <w:ind w:left="360" w:hanging="360"/>
      </w:pPr>
      <w:rPr>
        <w:rFonts w:ascii="Symbol" w:hAnsi="Symbol" w:hint="default"/>
      </w:rPr>
    </w:lvl>
    <w:lvl w:ilvl="1" w:tplc="776876F4">
      <w:numFmt w:val="decimal"/>
      <w:lvlText w:val=""/>
      <w:lvlJc w:val="left"/>
    </w:lvl>
    <w:lvl w:ilvl="2" w:tplc="E1227CB8">
      <w:numFmt w:val="decimal"/>
      <w:lvlText w:val=""/>
      <w:lvlJc w:val="left"/>
    </w:lvl>
    <w:lvl w:ilvl="3" w:tplc="17C43D5E">
      <w:numFmt w:val="decimal"/>
      <w:lvlText w:val=""/>
      <w:lvlJc w:val="left"/>
    </w:lvl>
    <w:lvl w:ilvl="4" w:tplc="BD76D2AC">
      <w:numFmt w:val="decimal"/>
      <w:lvlText w:val=""/>
      <w:lvlJc w:val="left"/>
    </w:lvl>
    <w:lvl w:ilvl="5" w:tplc="8EE466D0">
      <w:numFmt w:val="decimal"/>
      <w:lvlText w:val=""/>
      <w:lvlJc w:val="left"/>
    </w:lvl>
    <w:lvl w:ilvl="6" w:tplc="BD169F7C">
      <w:numFmt w:val="decimal"/>
      <w:lvlText w:val=""/>
      <w:lvlJc w:val="left"/>
    </w:lvl>
    <w:lvl w:ilvl="7" w:tplc="E4E82736">
      <w:numFmt w:val="decimal"/>
      <w:lvlText w:val=""/>
      <w:lvlJc w:val="left"/>
    </w:lvl>
    <w:lvl w:ilvl="8" w:tplc="C09001B2">
      <w:numFmt w:val="decimal"/>
      <w:lvlText w:val=""/>
      <w:lvlJc w:val="left"/>
    </w:lvl>
  </w:abstractNum>
  <w:num w:numId="1" w16cid:durableId="1296905603">
    <w:abstractNumId w:val="4"/>
  </w:num>
  <w:num w:numId="2" w16cid:durableId="1771200790">
    <w:abstractNumId w:val="3"/>
  </w:num>
  <w:num w:numId="3" w16cid:durableId="729034853">
    <w:abstractNumId w:val="2"/>
  </w:num>
  <w:num w:numId="4" w16cid:durableId="729034854">
    <w:abstractNumId w:val="5"/>
  </w:num>
  <w:num w:numId="5" w16cid:durableId="1357149479">
    <w:abstractNumId w:val="0"/>
  </w:num>
  <w:num w:numId="6" w16cid:durableId="104243556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A0"/>
    <w:rsid w:val="00072D23"/>
    <w:rsid w:val="000C7623"/>
    <w:rsid w:val="000D02E6"/>
    <w:rsid w:val="00114E47"/>
    <w:rsid w:val="00151AB1"/>
    <w:rsid w:val="001B5BA6"/>
    <w:rsid w:val="002040D8"/>
    <w:rsid w:val="00222C7A"/>
    <w:rsid w:val="00245200"/>
    <w:rsid w:val="00261E83"/>
    <w:rsid w:val="00263889"/>
    <w:rsid w:val="00274BB5"/>
    <w:rsid w:val="002D2490"/>
    <w:rsid w:val="002D4C34"/>
    <w:rsid w:val="00304DC6"/>
    <w:rsid w:val="0039228E"/>
    <w:rsid w:val="003B30AE"/>
    <w:rsid w:val="00403889"/>
    <w:rsid w:val="00463853"/>
    <w:rsid w:val="00480109"/>
    <w:rsid w:val="004806AD"/>
    <w:rsid w:val="004856EB"/>
    <w:rsid w:val="004C2D48"/>
    <w:rsid w:val="004D0B87"/>
    <w:rsid w:val="00533AF8"/>
    <w:rsid w:val="005345DE"/>
    <w:rsid w:val="00594538"/>
    <w:rsid w:val="005956F4"/>
    <w:rsid w:val="005B2598"/>
    <w:rsid w:val="005B4511"/>
    <w:rsid w:val="005E3EB2"/>
    <w:rsid w:val="006C5B24"/>
    <w:rsid w:val="006E2654"/>
    <w:rsid w:val="006F637F"/>
    <w:rsid w:val="007472DB"/>
    <w:rsid w:val="00782F44"/>
    <w:rsid w:val="007A5710"/>
    <w:rsid w:val="00843190"/>
    <w:rsid w:val="00892A3D"/>
    <w:rsid w:val="008C5074"/>
    <w:rsid w:val="008E31E6"/>
    <w:rsid w:val="008F712F"/>
    <w:rsid w:val="009112D3"/>
    <w:rsid w:val="00914680"/>
    <w:rsid w:val="00924F21"/>
    <w:rsid w:val="00976B6A"/>
    <w:rsid w:val="00977E3D"/>
    <w:rsid w:val="009A29C9"/>
    <w:rsid w:val="009A5045"/>
    <w:rsid w:val="009A7873"/>
    <w:rsid w:val="009B7E76"/>
    <w:rsid w:val="009F0B2E"/>
    <w:rsid w:val="00A1673F"/>
    <w:rsid w:val="00AF213D"/>
    <w:rsid w:val="00B06FF2"/>
    <w:rsid w:val="00BA2DEC"/>
    <w:rsid w:val="00BD7B9F"/>
    <w:rsid w:val="00C43388"/>
    <w:rsid w:val="00CD168D"/>
    <w:rsid w:val="00CE2E34"/>
    <w:rsid w:val="00CF4EFB"/>
    <w:rsid w:val="00D72955"/>
    <w:rsid w:val="00D760BA"/>
    <w:rsid w:val="00D76450"/>
    <w:rsid w:val="00DA7F21"/>
    <w:rsid w:val="00DC1CA0"/>
    <w:rsid w:val="00E26CEB"/>
    <w:rsid w:val="00E326C3"/>
    <w:rsid w:val="00E45663"/>
    <w:rsid w:val="00E46C11"/>
    <w:rsid w:val="00E776FE"/>
    <w:rsid w:val="00EA2AF9"/>
    <w:rsid w:val="00EB6E7A"/>
    <w:rsid w:val="00EC2F41"/>
    <w:rsid w:val="00EE08B8"/>
    <w:rsid w:val="00F10244"/>
    <w:rsid w:val="00F80B5C"/>
    <w:rsid w:val="00F87387"/>
    <w:rsid w:val="00F90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E93D3"/>
  <w15:chartTrackingRefBased/>
  <w15:docId w15:val="{5FB403D3-F7A8-1B47-89BC-E8BF68F6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9A29C9"/>
    <w:rPr>
      <w:rFonts w:ascii="Calibri" w:hAnsi="Calibri" w:cs="Calibri"/>
    </w:rPr>
  </w:style>
  <w:style w:type="paragraph" w:styleId="Heading1">
    <w:name w:val="heading 1"/>
    <w:basedOn w:val="Normal"/>
    <w:next w:val="Normal"/>
    <w:link w:val="Heading1Char"/>
    <w:uiPriority w:val="9"/>
    <w:qFormat/>
    <w:rsid w:val="009A29C9"/>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9A29C9"/>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9A29C9"/>
    <w:pPr>
      <w:outlineLvl w:val="2"/>
    </w:pPr>
    <w:rPr>
      <w:i/>
      <w:iCs/>
      <w:sz w:val="18"/>
      <w:szCs w:val="18"/>
    </w:rPr>
  </w:style>
  <w:style w:type="paragraph" w:styleId="Heading4">
    <w:name w:val="heading 4"/>
    <w:basedOn w:val="Footer"/>
    <w:next w:val="Normal"/>
    <w:link w:val="Heading4Char"/>
    <w:uiPriority w:val="9"/>
    <w:unhideWhenUsed/>
    <w:qFormat/>
    <w:rsid w:val="009A29C9"/>
    <w:rPr>
      <w:b w:val="0"/>
      <w:bCs w:val="0"/>
    </w:rPr>
  </w:style>
  <w:style w:type="paragraph" w:styleId="Heading5">
    <w:name w:val="heading 5"/>
    <w:basedOn w:val="Normal"/>
    <w:next w:val="Normal"/>
    <w:link w:val="Heading5Char"/>
    <w:uiPriority w:val="9"/>
    <w:semiHidden/>
    <w:unhideWhenUsed/>
    <w:qFormat/>
    <w:rsid w:val="009A29C9"/>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9A29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9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9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9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9A29C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A29C9"/>
  </w:style>
  <w:style w:type="character" w:customStyle="1" w:styleId="Heading1Char">
    <w:name w:val="Heading 1 Char"/>
    <w:basedOn w:val="DefaultParagraphFont"/>
    <w:link w:val="Heading1"/>
    <w:uiPriority w:val="9"/>
    <w:rsid w:val="009A29C9"/>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9A29C9"/>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9A29C9"/>
    <w:rPr>
      <w:rFonts w:ascii="Calibri" w:hAnsi="Calibri" w:cs="Calibri"/>
      <w:i/>
      <w:iCs/>
      <w:sz w:val="18"/>
      <w:szCs w:val="18"/>
    </w:rPr>
  </w:style>
  <w:style w:type="character" w:customStyle="1" w:styleId="Heading4Char">
    <w:name w:val="Heading 4 Char"/>
    <w:basedOn w:val="DefaultParagraphFont"/>
    <w:link w:val="Heading4"/>
    <w:uiPriority w:val="9"/>
    <w:rsid w:val="009A29C9"/>
    <w:rPr>
      <w:rFonts w:ascii="Calibri" w:hAnsi="Calibri" w:cs="Calibri"/>
      <w:caps/>
    </w:rPr>
  </w:style>
  <w:style w:type="character" w:customStyle="1" w:styleId="Heading5Char">
    <w:name w:val="Heading 5 Char"/>
    <w:basedOn w:val="DefaultParagraphFont"/>
    <w:link w:val="Heading5"/>
    <w:uiPriority w:val="9"/>
    <w:semiHidden/>
    <w:rsid w:val="009A29C9"/>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9A29C9"/>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9A29C9"/>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9A29C9"/>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9A29C9"/>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9A29C9"/>
    <w:rPr>
      <w:b/>
      <w:bCs/>
      <w:caps/>
      <w:sz w:val="32"/>
      <w:szCs w:val="32"/>
    </w:rPr>
  </w:style>
  <w:style w:type="character" w:customStyle="1" w:styleId="TitleChar">
    <w:name w:val="Title Char"/>
    <w:aliases w:val="Document Title Char"/>
    <w:basedOn w:val="DefaultParagraphFont"/>
    <w:link w:val="Title"/>
    <w:uiPriority w:val="10"/>
    <w:rsid w:val="009A29C9"/>
    <w:rPr>
      <w:rFonts w:ascii="Calibri" w:hAnsi="Calibri" w:cs="Calibri"/>
      <w:b/>
      <w:bCs/>
      <w:caps/>
      <w:sz w:val="32"/>
      <w:szCs w:val="32"/>
    </w:rPr>
  </w:style>
  <w:style w:type="character" w:styleId="FollowedHyperlink">
    <w:name w:val="FollowedHyperlink"/>
    <w:basedOn w:val="DefaultParagraphFont"/>
    <w:uiPriority w:val="99"/>
    <w:semiHidden/>
    <w:unhideWhenUsed/>
    <w:rsid w:val="009A29C9"/>
    <w:rPr>
      <w:color w:val="288AC3" w:themeColor="followedHyperlink"/>
      <w:u w:val="single"/>
    </w:rPr>
  </w:style>
  <w:style w:type="paragraph" w:styleId="Footer">
    <w:name w:val="footer"/>
    <w:basedOn w:val="Normal"/>
    <w:link w:val="FooterChar"/>
    <w:uiPriority w:val="99"/>
    <w:unhideWhenUsed/>
    <w:rsid w:val="009A29C9"/>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9A29C9"/>
    <w:rPr>
      <w:rFonts w:ascii="Calibri" w:hAnsi="Calibri" w:cs="Calibri"/>
      <w:b/>
      <w:bCs/>
      <w:caps/>
    </w:rPr>
  </w:style>
  <w:style w:type="paragraph" w:styleId="NormalWeb">
    <w:name w:val="Normal (Web)"/>
    <w:basedOn w:val="Normal"/>
    <w:uiPriority w:val="99"/>
    <w:semiHidden/>
    <w:unhideWhenUsed/>
    <w:rsid w:val="009A29C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9A29C9"/>
    <w:pPr>
      <w:ind w:left="720"/>
    </w:pPr>
    <w:rPr>
      <w:i/>
    </w:rPr>
  </w:style>
  <w:style w:type="character" w:styleId="Hyperlink">
    <w:name w:val="Hyperlink"/>
    <w:basedOn w:val="DefaultParagraphFont"/>
    <w:uiPriority w:val="99"/>
    <w:unhideWhenUsed/>
    <w:rsid w:val="009A29C9"/>
    <w:rPr>
      <w:color w:val="288AC3" w:themeColor="accent1"/>
      <w:u w:val="single"/>
    </w:rPr>
  </w:style>
  <w:style w:type="character" w:styleId="UnresolvedMention">
    <w:name w:val="Unresolved Mention"/>
    <w:basedOn w:val="DefaultParagraphFont"/>
    <w:uiPriority w:val="99"/>
    <w:semiHidden/>
    <w:unhideWhenUsed/>
    <w:rsid w:val="009A29C9"/>
    <w:rPr>
      <w:color w:val="605E5C"/>
      <w:shd w:val="clear" w:color="auto" w:fill="E1DFDD"/>
    </w:rPr>
  </w:style>
  <w:style w:type="paragraph" w:styleId="Header">
    <w:name w:val="header"/>
    <w:basedOn w:val="Normal"/>
    <w:link w:val="HeaderChar"/>
    <w:uiPriority w:val="99"/>
    <w:unhideWhenUsed/>
    <w:rsid w:val="009A2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9C9"/>
    <w:rPr>
      <w:rFonts w:ascii="Calibri" w:hAnsi="Calibri" w:cs="Calibri"/>
    </w:rPr>
  </w:style>
  <w:style w:type="paragraph" w:styleId="ListParagraph">
    <w:name w:val="List Paragraph"/>
    <w:basedOn w:val="Normal"/>
    <w:uiPriority w:val="34"/>
    <w:qFormat/>
    <w:rsid w:val="009A29C9"/>
    <w:pPr>
      <w:ind w:left="720"/>
      <w:contextualSpacing/>
    </w:pPr>
  </w:style>
  <w:style w:type="paragraph" w:customStyle="1" w:styleId="AnswerKey">
    <w:name w:val="Answer Key"/>
    <w:basedOn w:val="Normal"/>
    <w:qFormat/>
    <w:rsid w:val="009A29C9"/>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unidays.com" TargetMode="External"/><Relationship Id="rId13" Type="http://schemas.openxmlformats.org/officeDocument/2006/relationships/hyperlink" Target="https://www.consumerfinance.gov/consumer-tools/money-as-you-grow/"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annualcreditreport.com" TargetMode="External"/><Relationship Id="rId12" Type="http://schemas.openxmlformats.org/officeDocument/2006/relationships/hyperlink" Target="https://consumer.go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aymoneysmart.fdic.gov/games" TargetMode="External"/><Relationship Id="rId5" Type="http://schemas.openxmlformats.org/officeDocument/2006/relationships/footnotes" Target="footnotes.xml"/><Relationship Id="rId15" Type="http://schemas.openxmlformats.org/officeDocument/2006/relationships/hyperlink" Target="https://www.fdic.gov/consumer-resource-center/money-smart-young-adults" TargetMode="External"/><Relationship Id="rId23" Type="http://schemas.openxmlformats.org/officeDocument/2006/relationships/theme" Target="theme/theme1.xml"/><Relationship Id="rId10" Type="http://schemas.openxmlformats.org/officeDocument/2006/relationships/hyperlink" Target="https://consumer.gov/system/files/consumer_gov/pdf/1041A_BudgetWorksheet-508.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studentbeans.com/us" TargetMode="External"/><Relationship Id="rId14" Type="http://schemas.openxmlformats.org/officeDocument/2006/relationships/hyperlink" Target="https://www.mymoney.gov"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racia/Documents/LEARN/2025%20Rebrand/LEARN%20Document%20Templates/LEARN%20Vertical%20Template%202025.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 2025.dotx</Template>
  <TotalTime>1</TotalTime>
  <Pages>4</Pages>
  <Words>960</Words>
  <Characters>5187</Characters>
  <Application>Microsoft Office Word</Application>
  <DocSecurity>0</DocSecurity>
  <Lines>153</Lines>
  <Paragraphs>93</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6094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Talks</dc:title>
  <dc:subject/>
  <dc:creator>K20 Center</dc:creator>
  <cp:keywords/>
  <dc:description/>
  <cp:lastModifiedBy>Gracia, Ann M.</cp:lastModifiedBy>
  <cp:revision>3</cp:revision>
  <cp:lastPrinted>2026-08-19T21:16:00Z</cp:lastPrinted>
  <dcterms:created xsi:type="dcterms:W3CDTF">2026-08-19T21:16:00Z</dcterms:created>
  <dcterms:modified xsi:type="dcterms:W3CDTF">2026-08-19T21:16:00Z</dcterms:modified>
  <cp:category/>
</cp:coreProperties>
</file>