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22640C" w14:paraId="1EEA0A06" w14:textId="77777777" w:rsidTr="003C3B83">
        <w:tc>
          <w:tcPr>
            <w:tcW w:w="5000" w:type="pct"/>
            <w:vAlign w:val="center"/>
          </w:tcPr>
          <w:p w14:paraId="40051B03" w14:textId="604BE31C" w:rsidR="0022640C" w:rsidRDefault="00C8537F" w:rsidP="00C8537F">
            <w:r>
              <w:t>My</w:t>
            </w:r>
            <w:r w:rsidR="0022640C">
              <w:t xml:space="preserve"> initial explanation of the phenomenon</w:t>
            </w:r>
            <w:r w:rsidR="002D11AA">
              <w:t>:</w:t>
            </w:r>
          </w:p>
        </w:tc>
      </w:tr>
      <w:tr w:rsidR="0022640C" w14:paraId="4402E175" w14:textId="77777777" w:rsidTr="008F3BAB">
        <w:trPr>
          <w:trHeight w:val="1529"/>
        </w:trPr>
        <w:tc>
          <w:tcPr>
            <w:tcW w:w="5000" w:type="pct"/>
            <w:vAlign w:val="center"/>
          </w:tcPr>
          <w:p w14:paraId="393BBE5E" w14:textId="77777777" w:rsidR="0022640C" w:rsidRDefault="0022640C" w:rsidP="00C8537F"/>
        </w:tc>
      </w:tr>
    </w:tbl>
    <w:p w14:paraId="3F378B1E" w14:textId="77777777" w:rsidR="00DA483B" w:rsidRDefault="00DA483B" w:rsidP="008F3BAB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22640C" w14:paraId="0E42D9FD" w14:textId="77777777" w:rsidTr="003C3B83">
        <w:tc>
          <w:tcPr>
            <w:tcW w:w="5000" w:type="pct"/>
            <w:gridSpan w:val="2"/>
            <w:vAlign w:val="center"/>
          </w:tcPr>
          <w:p w14:paraId="5D29237A" w14:textId="58338404" w:rsidR="0022640C" w:rsidRPr="008F3BAB" w:rsidRDefault="0022640C" w:rsidP="00C8537F">
            <w:pPr>
              <w:jc w:val="center"/>
              <w:rPr>
                <w:b/>
                <w:bCs/>
              </w:rPr>
            </w:pPr>
            <w:r w:rsidRPr="008F3BAB">
              <w:rPr>
                <w:b/>
                <w:bCs/>
              </w:rPr>
              <w:t>Lines of Evidence</w:t>
            </w:r>
            <w:r w:rsidR="00785325">
              <w:rPr>
                <w:b/>
                <w:bCs/>
              </w:rPr>
              <w:t>: Simulation</w:t>
            </w:r>
          </w:p>
        </w:tc>
      </w:tr>
      <w:tr w:rsidR="0022640C" w14:paraId="6F7CD6C9" w14:textId="77777777" w:rsidTr="003C3B83">
        <w:tc>
          <w:tcPr>
            <w:tcW w:w="2500" w:type="pct"/>
            <w:vAlign w:val="center"/>
          </w:tcPr>
          <w:p w14:paraId="138F4A0B" w14:textId="23CEAE23" w:rsidR="0022640C" w:rsidRDefault="0022640C" w:rsidP="00C8537F">
            <w:r>
              <w:t>Data from the simulation showed:</w:t>
            </w:r>
          </w:p>
        </w:tc>
        <w:tc>
          <w:tcPr>
            <w:tcW w:w="2500" w:type="pct"/>
            <w:vAlign w:val="center"/>
          </w:tcPr>
          <w:p w14:paraId="7B1854DF" w14:textId="49779A9A" w:rsidR="0022640C" w:rsidRDefault="0022640C" w:rsidP="00C8537F">
            <w:r>
              <w:t>The pattern(s) we noticed was:</w:t>
            </w:r>
          </w:p>
        </w:tc>
      </w:tr>
      <w:tr w:rsidR="0022640C" w14:paraId="17F10756" w14:textId="77777777" w:rsidTr="008F3BAB">
        <w:trPr>
          <w:trHeight w:val="2456"/>
        </w:trPr>
        <w:tc>
          <w:tcPr>
            <w:tcW w:w="2500" w:type="pct"/>
            <w:vMerge w:val="restart"/>
            <w:vAlign w:val="center"/>
          </w:tcPr>
          <w:p w14:paraId="2348CCE4" w14:textId="116D5DB3" w:rsidR="0022640C" w:rsidRDefault="0022640C" w:rsidP="00C8537F"/>
        </w:tc>
        <w:tc>
          <w:tcPr>
            <w:tcW w:w="2500" w:type="pct"/>
            <w:vAlign w:val="center"/>
          </w:tcPr>
          <w:p w14:paraId="3AE901A6" w14:textId="23A84E51" w:rsidR="0022640C" w:rsidRDefault="0022640C" w:rsidP="00C8537F"/>
        </w:tc>
      </w:tr>
      <w:tr w:rsidR="0022640C" w14:paraId="3F907C8A" w14:textId="77777777" w:rsidTr="003C3B83">
        <w:tc>
          <w:tcPr>
            <w:tcW w:w="2500" w:type="pct"/>
            <w:vMerge/>
            <w:vAlign w:val="center"/>
          </w:tcPr>
          <w:p w14:paraId="14B33367" w14:textId="77777777" w:rsidR="0022640C" w:rsidRDefault="0022640C" w:rsidP="00C8537F"/>
        </w:tc>
        <w:tc>
          <w:tcPr>
            <w:tcW w:w="2500" w:type="pct"/>
            <w:vAlign w:val="center"/>
          </w:tcPr>
          <w:p w14:paraId="39C7C2FF" w14:textId="43DD6621" w:rsidR="0022640C" w:rsidRDefault="0022640C" w:rsidP="00C8537F">
            <w:r>
              <w:t>What this means is:</w:t>
            </w:r>
          </w:p>
        </w:tc>
      </w:tr>
      <w:tr w:rsidR="0022640C" w14:paraId="44689E67" w14:textId="77777777" w:rsidTr="008F3BAB">
        <w:trPr>
          <w:trHeight w:val="2528"/>
        </w:trPr>
        <w:tc>
          <w:tcPr>
            <w:tcW w:w="2500" w:type="pct"/>
            <w:vMerge/>
            <w:vAlign w:val="center"/>
          </w:tcPr>
          <w:p w14:paraId="1CCBF741" w14:textId="77777777" w:rsidR="0022640C" w:rsidRDefault="0022640C" w:rsidP="00C8537F"/>
        </w:tc>
        <w:tc>
          <w:tcPr>
            <w:tcW w:w="2500" w:type="pct"/>
            <w:vAlign w:val="center"/>
          </w:tcPr>
          <w:p w14:paraId="57D93F92" w14:textId="77777777" w:rsidR="0022640C" w:rsidRDefault="0022640C" w:rsidP="00C8537F"/>
        </w:tc>
      </w:tr>
      <w:tr w:rsidR="0022640C" w14:paraId="754AFA44" w14:textId="77777777" w:rsidTr="003C3B83">
        <w:tc>
          <w:tcPr>
            <w:tcW w:w="5000" w:type="pct"/>
            <w:gridSpan w:val="2"/>
            <w:vAlign w:val="center"/>
          </w:tcPr>
          <w:p w14:paraId="086A6901" w14:textId="3656419C" w:rsidR="0022640C" w:rsidRDefault="00DA483B" w:rsidP="00C8537F">
            <w:r>
              <w:t>How the simulation data supports my explanation</w:t>
            </w:r>
            <w:r w:rsidR="002D11AA">
              <w:t>:</w:t>
            </w:r>
          </w:p>
        </w:tc>
      </w:tr>
      <w:tr w:rsidR="0022640C" w14:paraId="09E68FA6" w14:textId="77777777" w:rsidTr="008F3BAB">
        <w:trPr>
          <w:trHeight w:val="2078"/>
        </w:trPr>
        <w:tc>
          <w:tcPr>
            <w:tcW w:w="5000" w:type="pct"/>
            <w:gridSpan w:val="2"/>
            <w:vAlign w:val="center"/>
          </w:tcPr>
          <w:p w14:paraId="6154B668" w14:textId="77777777" w:rsidR="0022640C" w:rsidRDefault="0022640C" w:rsidP="00C8537F"/>
        </w:tc>
      </w:tr>
      <w:tr w:rsidR="00D00B50" w14:paraId="58CF55BD" w14:textId="77777777" w:rsidTr="003C3B83">
        <w:tc>
          <w:tcPr>
            <w:tcW w:w="5000" w:type="pct"/>
            <w:gridSpan w:val="2"/>
            <w:vAlign w:val="center"/>
          </w:tcPr>
          <w:p w14:paraId="5ED2D201" w14:textId="43E26BBC" w:rsidR="00D00B50" w:rsidRDefault="00DA483B" w:rsidP="00C8537F">
            <w:r>
              <w:t>My revised explanation of the phenomenon</w:t>
            </w:r>
            <w:r w:rsidR="002D11AA">
              <w:t>:</w:t>
            </w:r>
          </w:p>
        </w:tc>
      </w:tr>
      <w:tr w:rsidR="00D00B50" w14:paraId="2C094ADA" w14:textId="77777777" w:rsidTr="003C3B83">
        <w:trPr>
          <w:trHeight w:val="2258"/>
        </w:trPr>
        <w:tc>
          <w:tcPr>
            <w:tcW w:w="5000" w:type="pct"/>
            <w:gridSpan w:val="2"/>
            <w:vAlign w:val="center"/>
          </w:tcPr>
          <w:p w14:paraId="26191A0E" w14:textId="77777777" w:rsidR="00D00B50" w:rsidRDefault="00D00B50" w:rsidP="00C8537F"/>
        </w:tc>
      </w:tr>
    </w:tbl>
    <w:p w14:paraId="1F944FFB" w14:textId="77777777" w:rsidR="008F3BAB" w:rsidRDefault="008F3BAB">
      <w:pPr>
        <w:sectPr w:rsidR="008F3BAB" w:rsidSect="008F3BAB">
          <w:footerReference w:type="default" r:id="rId8"/>
          <w:pgSz w:w="12240" w:h="15840"/>
          <w:pgMar w:top="1008" w:right="720" w:bottom="1440" w:left="720" w:header="720" w:footer="720" w:gutter="0"/>
          <w:pgNumType w:start="1"/>
          <w:cols w:space="720"/>
          <w:docGrid w:linePitch="326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A26154" w14:paraId="0FA1568E" w14:textId="77777777" w:rsidTr="00785325">
        <w:tc>
          <w:tcPr>
            <w:tcW w:w="5000" w:type="pct"/>
            <w:vAlign w:val="center"/>
          </w:tcPr>
          <w:p w14:paraId="7EA4B42E" w14:textId="4C56C2C7" w:rsidR="00A26154" w:rsidRPr="00A26154" w:rsidRDefault="00A26154" w:rsidP="00A26154">
            <w:r w:rsidRPr="00A26154">
              <w:lastRenderedPageBreak/>
              <w:t>How do limiting factors influence carrying capacity?</w:t>
            </w:r>
          </w:p>
        </w:tc>
      </w:tr>
      <w:tr w:rsidR="00A26154" w14:paraId="0B71F98C" w14:textId="77777777" w:rsidTr="00A26154">
        <w:trPr>
          <w:trHeight w:val="1250"/>
        </w:trPr>
        <w:tc>
          <w:tcPr>
            <w:tcW w:w="5000" w:type="pct"/>
            <w:vAlign w:val="center"/>
          </w:tcPr>
          <w:p w14:paraId="608FE5DB" w14:textId="77777777" w:rsidR="00A26154" w:rsidRPr="00A26154" w:rsidRDefault="00A26154" w:rsidP="00A26154"/>
        </w:tc>
      </w:tr>
      <w:tr w:rsidR="00A26154" w14:paraId="0A411FB1" w14:textId="77777777" w:rsidTr="00785325">
        <w:tc>
          <w:tcPr>
            <w:tcW w:w="5000" w:type="pct"/>
            <w:vAlign w:val="center"/>
          </w:tcPr>
          <w:p w14:paraId="0F63FF2D" w14:textId="4E0D893C" w:rsidR="00A26154" w:rsidRPr="00A26154" w:rsidRDefault="00A26154" w:rsidP="00A26154">
            <w:r>
              <w:t>Are nutrients dependent or independent factors? How do you know?</w:t>
            </w:r>
          </w:p>
        </w:tc>
      </w:tr>
      <w:tr w:rsidR="00A26154" w14:paraId="61B15901" w14:textId="77777777" w:rsidTr="00A26154">
        <w:trPr>
          <w:trHeight w:val="1079"/>
        </w:trPr>
        <w:tc>
          <w:tcPr>
            <w:tcW w:w="5000" w:type="pct"/>
            <w:vAlign w:val="center"/>
          </w:tcPr>
          <w:p w14:paraId="2E7BE29C" w14:textId="77777777" w:rsidR="00A26154" w:rsidRDefault="00A26154" w:rsidP="00A26154"/>
        </w:tc>
      </w:tr>
    </w:tbl>
    <w:p w14:paraId="033C691A" w14:textId="77777777" w:rsidR="00A26154" w:rsidRDefault="00A26154" w:rsidP="00A26154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4"/>
        <w:gridCol w:w="4856"/>
      </w:tblGrid>
      <w:tr w:rsidR="00785325" w14:paraId="0FEED05F" w14:textId="77777777" w:rsidTr="00785325">
        <w:tc>
          <w:tcPr>
            <w:tcW w:w="5000" w:type="pct"/>
            <w:gridSpan w:val="2"/>
            <w:vAlign w:val="center"/>
          </w:tcPr>
          <w:p w14:paraId="63E2D413" w14:textId="75860E87" w:rsidR="00785325" w:rsidRDefault="00785325" w:rsidP="00785325">
            <w:pPr>
              <w:jc w:val="center"/>
            </w:pPr>
            <w:r w:rsidRPr="008F3BAB">
              <w:rPr>
                <w:b/>
                <w:bCs/>
              </w:rPr>
              <w:t>Lines of Evidence</w:t>
            </w:r>
            <w:r>
              <w:rPr>
                <w:b/>
                <w:bCs/>
              </w:rPr>
              <w:t>: Research Sources</w:t>
            </w:r>
          </w:p>
        </w:tc>
      </w:tr>
      <w:tr w:rsidR="0022640C" w14:paraId="0DC4F14E" w14:textId="77777777" w:rsidTr="00E74FD6">
        <w:tc>
          <w:tcPr>
            <w:tcW w:w="2750" w:type="pct"/>
            <w:vAlign w:val="center"/>
          </w:tcPr>
          <w:p w14:paraId="586FF7AA" w14:textId="48BE7D22" w:rsidR="0022640C" w:rsidRDefault="00785325" w:rsidP="00C8537F">
            <w:r>
              <w:t>The</w:t>
            </w:r>
            <w:r w:rsidR="0022640C">
              <w:t xml:space="preserve"> videos</w:t>
            </w:r>
            <w:r w:rsidR="00E74FD6">
              <w:t xml:space="preserve"> and notes</w:t>
            </w:r>
            <w:r w:rsidR="0022640C">
              <w:t xml:space="preserve"> provided the following </w:t>
            </w:r>
            <w:r w:rsidR="00E74FD6">
              <w:t>science ideas</w:t>
            </w:r>
            <w:r w:rsidR="0022640C">
              <w:t>:</w:t>
            </w:r>
          </w:p>
        </w:tc>
        <w:tc>
          <w:tcPr>
            <w:tcW w:w="2250" w:type="pct"/>
            <w:vAlign w:val="center"/>
          </w:tcPr>
          <w:p w14:paraId="5A7D236D" w14:textId="3638BDA3" w:rsidR="0022640C" w:rsidRDefault="00493EAC" w:rsidP="00C8537F">
            <w:r>
              <w:t xml:space="preserve">How </w:t>
            </w:r>
            <w:r w:rsidR="00A26154">
              <w:t>information</w:t>
            </w:r>
            <w:r>
              <w:t xml:space="preserve"> helps explain algal blooms</w:t>
            </w:r>
            <w:r w:rsidR="00A26154">
              <w:t>:</w:t>
            </w:r>
          </w:p>
        </w:tc>
      </w:tr>
      <w:tr w:rsidR="0022640C" w14:paraId="7B96A92F" w14:textId="77777777" w:rsidTr="00E74FD6">
        <w:trPr>
          <w:trHeight w:val="4229"/>
        </w:trPr>
        <w:tc>
          <w:tcPr>
            <w:tcW w:w="2750" w:type="pct"/>
            <w:vAlign w:val="center"/>
          </w:tcPr>
          <w:p w14:paraId="5769F59B" w14:textId="77777777" w:rsidR="0022640C" w:rsidRDefault="0022640C" w:rsidP="00C8537F"/>
        </w:tc>
        <w:tc>
          <w:tcPr>
            <w:tcW w:w="2250" w:type="pct"/>
            <w:vAlign w:val="center"/>
          </w:tcPr>
          <w:p w14:paraId="170024F6" w14:textId="77777777" w:rsidR="0022640C" w:rsidRDefault="0022640C" w:rsidP="00C8537F"/>
        </w:tc>
      </w:tr>
      <w:tr w:rsidR="0022640C" w14:paraId="2E395F95" w14:textId="77777777" w:rsidTr="00E74FD6">
        <w:tc>
          <w:tcPr>
            <w:tcW w:w="2750" w:type="pct"/>
            <w:vAlign w:val="center"/>
          </w:tcPr>
          <w:p w14:paraId="5DE57CA3" w14:textId="3AAE1DD6" w:rsidR="0022640C" w:rsidRDefault="00785325" w:rsidP="00C8537F">
            <w:r>
              <w:t>T</w:t>
            </w:r>
            <w:r w:rsidR="00C8537F">
              <w:t>he reading</w:t>
            </w:r>
            <w:r w:rsidR="00BE097E">
              <w:t xml:space="preserve">s </w:t>
            </w:r>
            <w:r w:rsidR="00C8537F">
              <w:t xml:space="preserve">provided the following </w:t>
            </w:r>
            <w:r w:rsidR="00493EAC">
              <w:t>information</w:t>
            </w:r>
            <w:r w:rsidR="00756A42">
              <w:t>:</w:t>
            </w:r>
          </w:p>
        </w:tc>
        <w:tc>
          <w:tcPr>
            <w:tcW w:w="2250" w:type="pct"/>
            <w:vAlign w:val="center"/>
          </w:tcPr>
          <w:p w14:paraId="47EB7020" w14:textId="4B9BE1F8" w:rsidR="0022640C" w:rsidRDefault="00493EAC" w:rsidP="00C8537F">
            <w:r>
              <w:t xml:space="preserve">How </w:t>
            </w:r>
            <w:r w:rsidR="00A26154">
              <w:t>information</w:t>
            </w:r>
            <w:r>
              <w:t xml:space="preserve"> helps explain algal blooms</w:t>
            </w:r>
            <w:r w:rsidR="00A26154">
              <w:t>:</w:t>
            </w:r>
          </w:p>
        </w:tc>
      </w:tr>
      <w:tr w:rsidR="00C8537F" w14:paraId="22D82BA4" w14:textId="77777777" w:rsidTr="00A26154">
        <w:trPr>
          <w:trHeight w:val="4940"/>
        </w:trPr>
        <w:tc>
          <w:tcPr>
            <w:tcW w:w="2750" w:type="pct"/>
            <w:vAlign w:val="center"/>
          </w:tcPr>
          <w:p w14:paraId="12263E03" w14:textId="77777777" w:rsidR="00C8537F" w:rsidRDefault="00C8537F" w:rsidP="00C8537F"/>
        </w:tc>
        <w:tc>
          <w:tcPr>
            <w:tcW w:w="2250" w:type="pct"/>
            <w:vAlign w:val="center"/>
          </w:tcPr>
          <w:p w14:paraId="6025BD33" w14:textId="77777777" w:rsidR="00C8537F" w:rsidRDefault="00C8537F" w:rsidP="00C8537F"/>
        </w:tc>
      </w:tr>
    </w:tbl>
    <w:p w14:paraId="18189D41" w14:textId="77777777" w:rsidR="008F3BAB" w:rsidRDefault="008F3BAB">
      <w:pPr>
        <w:sectPr w:rsidR="008F3BAB" w:rsidSect="008F3BAB">
          <w:type w:val="continuous"/>
          <w:pgSz w:w="12240" w:h="15840"/>
          <w:pgMar w:top="1008" w:right="720" w:bottom="1440" w:left="720" w:header="720" w:footer="720" w:gutter="0"/>
          <w:pgNumType w:start="1"/>
          <w:cols w:space="720"/>
          <w:docGrid w:linePitch="326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D00B50" w14:paraId="17F2CF93" w14:textId="77777777" w:rsidTr="008F3BAB">
        <w:trPr>
          <w:trHeight w:val="350"/>
        </w:trPr>
        <w:tc>
          <w:tcPr>
            <w:tcW w:w="5000" w:type="pct"/>
            <w:vAlign w:val="center"/>
          </w:tcPr>
          <w:p w14:paraId="406C5B2E" w14:textId="7D84D39F" w:rsidR="00D00B50" w:rsidRDefault="00D00B50" w:rsidP="00D00B50">
            <w:r>
              <w:lastRenderedPageBreak/>
              <w:t>My final explanation for the phenomenon</w:t>
            </w:r>
            <w:r w:rsidR="00C33750">
              <w:t>:</w:t>
            </w:r>
          </w:p>
        </w:tc>
      </w:tr>
      <w:tr w:rsidR="00D00B50" w14:paraId="5EC4DCD4" w14:textId="77777777" w:rsidTr="008F3BAB">
        <w:trPr>
          <w:trHeight w:val="3320"/>
        </w:trPr>
        <w:tc>
          <w:tcPr>
            <w:tcW w:w="5000" w:type="pct"/>
            <w:vAlign w:val="center"/>
          </w:tcPr>
          <w:p w14:paraId="23D934A1" w14:textId="77777777" w:rsidR="00D00B50" w:rsidRDefault="00D00B50" w:rsidP="00D00B50"/>
        </w:tc>
      </w:tr>
    </w:tbl>
    <w:p w14:paraId="2EF1A344" w14:textId="075B7F83" w:rsidR="0036040A" w:rsidRPr="008962AF" w:rsidRDefault="0036040A" w:rsidP="008962AF"/>
    <w:sectPr w:rsidR="0036040A" w:rsidRPr="008962AF" w:rsidSect="008F3BAB">
      <w:type w:val="continuous"/>
      <w:pgSz w:w="12240" w:h="15840"/>
      <w:pgMar w:top="1008" w:right="720" w:bottom="144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4B3A5" w14:textId="77777777" w:rsidR="00E15BBE" w:rsidRDefault="00E15BBE" w:rsidP="00293785">
      <w:pPr>
        <w:spacing w:after="0" w:line="240" w:lineRule="auto"/>
      </w:pPr>
      <w:r>
        <w:separator/>
      </w:r>
    </w:p>
  </w:endnote>
  <w:endnote w:type="continuationSeparator" w:id="0">
    <w:p w14:paraId="64807C11" w14:textId="77777777" w:rsidR="00E15BBE" w:rsidRDefault="00E15BB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2775" w14:textId="6475252A" w:rsidR="00293785" w:rsidRDefault="003C3B8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1360882" wp14:editId="7F307DB0">
          <wp:simplePos x="0" y="0"/>
          <wp:positionH relativeFrom="column">
            <wp:posOffset>1805940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B8D1A9" wp14:editId="032FBC61">
              <wp:simplePos x="0" y="0"/>
              <wp:positionH relativeFrom="column">
                <wp:posOffset>1920504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3915E7" w14:textId="75E83CB5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26E3EB30AF149CE9ACD87D67904A34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8537F">
                                <w:t>The Greening of the Waters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B8D1A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1.2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GA3Det0AAAAJAQAADwAAAGRycy9kb3ducmV2Lnht&#10;bEyPTW/CMAyG75P4D5GRdoOE0k3QNUVo065DYx/SbqExbUXjVE2g3b/HnLaj/T56/TjfjK4VF+xD&#10;40nDYq5AIJXeNlRp+Px4na1AhGjImtYTavjFAJticpebzPqB3vGyj5XgEgqZ0VDH2GVShrJGZ8Lc&#10;d0icHX3vTOSxr6TtzcDlrpWJUo/SmYb4Qm06fK6xPO3PTsPX2/HnO1W76sU9dIMflSS3llrfT8ft&#10;E4iIY/yD4abP6lCw08GfyQbRaliqJGVUwyxdJCCYWC9vmwNHK5BFLv9/UFwB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GA3Det0AAAAJAQAADwAAAAAAAAAAAAAAAAC6BAAAZHJzL2Rv&#10;d25yZXYueG1sUEsFBgAAAAAEAAQA8wAAAMQFAAAAAA==&#10;" filled="f" stroked="f">
              <v:textbox>
                <w:txbxContent>
                  <w:p w14:paraId="733915E7" w14:textId="75E83CB5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26E3EB30AF149CE9ACD87D67904A34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C8537F">
                          <w:t>The Greening of the Waters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89A79" w14:textId="77777777" w:rsidR="00E15BBE" w:rsidRDefault="00E15BBE" w:rsidP="00293785">
      <w:pPr>
        <w:spacing w:after="0" w:line="240" w:lineRule="auto"/>
      </w:pPr>
      <w:r>
        <w:separator/>
      </w:r>
    </w:p>
  </w:footnote>
  <w:footnote w:type="continuationSeparator" w:id="0">
    <w:p w14:paraId="2C8FB0A0" w14:textId="77777777" w:rsidR="00E15BBE" w:rsidRDefault="00E15BB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EE8D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229180">
    <w:abstractNumId w:val="7"/>
  </w:num>
  <w:num w:numId="2" w16cid:durableId="535386440">
    <w:abstractNumId w:val="8"/>
  </w:num>
  <w:num w:numId="3" w16cid:durableId="881331382">
    <w:abstractNumId w:val="1"/>
  </w:num>
  <w:num w:numId="4" w16cid:durableId="441803238">
    <w:abstractNumId w:val="3"/>
  </w:num>
  <w:num w:numId="5" w16cid:durableId="1262446108">
    <w:abstractNumId w:val="4"/>
  </w:num>
  <w:num w:numId="6" w16cid:durableId="456030910">
    <w:abstractNumId w:val="6"/>
  </w:num>
  <w:num w:numId="7" w16cid:durableId="1430350123">
    <w:abstractNumId w:val="5"/>
  </w:num>
  <w:num w:numId="8" w16cid:durableId="552351662">
    <w:abstractNumId w:val="9"/>
  </w:num>
  <w:num w:numId="9" w16cid:durableId="757677040">
    <w:abstractNumId w:val="10"/>
  </w:num>
  <w:num w:numId="10" w16cid:durableId="2091273396">
    <w:abstractNumId w:val="11"/>
  </w:num>
  <w:num w:numId="11" w16cid:durableId="1221483608">
    <w:abstractNumId w:val="2"/>
  </w:num>
  <w:num w:numId="12" w16cid:durableId="125708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90"/>
    <w:rsid w:val="0004006F"/>
    <w:rsid w:val="00053775"/>
    <w:rsid w:val="0005619A"/>
    <w:rsid w:val="0011259B"/>
    <w:rsid w:val="00116FDD"/>
    <w:rsid w:val="00125621"/>
    <w:rsid w:val="00137DED"/>
    <w:rsid w:val="001D0BBF"/>
    <w:rsid w:val="001E1F85"/>
    <w:rsid w:val="001F125D"/>
    <w:rsid w:val="0022640C"/>
    <w:rsid w:val="002345CC"/>
    <w:rsid w:val="00291220"/>
    <w:rsid w:val="00293785"/>
    <w:rsid w:val="002C0879"/>
    <w:rsid w:val="002C37B4"/>
    <w:rsid w:val="002D11AA"/>
    <w:rsid w:val="00321B5D"/>
    <w:rsid w:val="0036040A"/>
    <w:rsid w:val="0038574F"/>
    <w:rsid w:val="003C3B83"/>
    <w:rsid w:val="004135C5"/>
    <w:rsid w:val="00446C13"/>
    <w:rsid w:val="00493EAC"/>
    <w:rsid w:val="004A6DD4"/>
    <w:rsid w:val="005078B4"/>
    <w:rsid w:val="0053328A"/>
    <w:rsid w:val="005374B5"/>
    <w:rsid w:val="00540FC6"/>
    <w:rsid w:val="00544CE7"/>
    <w:rsid w:val="005511B6"/>
    <w:rsid w:val="00553C98"/>
    <w:rsid w:val="005E3C0F"/>
    <w:rsid w:val="005E779C"/>
    <w:rsid w:val="005F68ED"/>
    <w:rsid w:val="00630854"/>
    <w:rsid w:val="00645D7F"/>
    <w:rsid w:val="00656940"/>
    <w:rsid w:val="00665274"/>
    <w:rsid w:val="00666C03"/>
    <w:rsid w:val="00686DAB"/>
    <w:rsid w:val="006E1542"/>
    <w:rsid w:val="00721EA4"/>
    <w:rsid w:val="00756A42"/>
    <w:rsid w:val="00781F10"/>
    <w:rsid w:val="00785325"/>
    <w:rsid w:val="0079132F"/>
    <w:rsid w:val="007B055F"/>
    <w:rsid w:val="007E6F1D"/>
    <w:rsid w:val="008219B3"/>
    <w:rsid w:val="00880013"/>
    <w:rsid w:val="008920A4"/>
    <w:rsid w:val="008962AF"/>
    <w:rsid w:val="008A2D78"/>
    <w:rsid w:val="008A3102"/>
    <w:rsid w:val="008B508D"/>
    <w:rsid w:val="008C19D5"/>
    <w:rsid w:val="008F3BAB"/>
    <w:rsid w:val="008F5386"/>
    <w:rsid w:val="00912920"/>
    <w:rsid w:val="00913172"/>
    <w:rsid w:val="00981E19"/>
    <w:rsid w:val="009B52E4"/>
    <w:rsid w:val="009D6E8D"/>
    <w:rsid w:val="00A03A15"/>
    <w:rsid w:val="00A101E8"/>
    <w:rsid w:val="00A25109"/>
    <w:rsid w:val="00A26154"/>
    <w:rsid w:val="00AC349E"/>
    <w:rsid w:val="00AC499D"/>
    <w:rsid w:val="00AC6BE7"/>
    <w:rsid w:val="00AE7EE5"/>
    <w:rsid w:val="00B2267E"/>
    <w:rsid w:val="00B43235"/>
    <w:rsid w:val="00B92DBF"/>
    <w:rsid w:val="00BD119F"/>
    <w:rsid w:val="00BE097E"/>
    <w:rsid w:val="00C10618"/>
    <w:rsid w:val="00C33750"/>
    <w:rsid w:val="00C50C45"/>
    <w:rsid w:val="00C73EA1"/>
    <w:rsid w:val="00C8524A"/>
    <w:rsid w:val="00C8537F"/>
    <w:rsid w:val="00C870BF"/>
    <w:rsid w:val="00CA5C37"/>
    <w:rsid w:val="00CC4F77"/>
    <w:rsid w:val="00CD3CF6"/>
    <w:rsid w:val="00CE336D"/>
    <w:rsid w:val="00CF3490"/>
    <w:rsid w:val="00D00B50"/>
    <w:rsid w:val="00D106FF"/>
    <w:rsid w:val="00D119E0"/>
    <w:rsid w:val="00D626EB"/>
    <w:rsid w:val="00DA0A62"/>
    <w:rsid w:val="00DA483B"/>
    <w:rsid w:val="00DB0A95"/>
    <w:rsid w:val="00DC7A6D"/>
    <w:rsid w:val="00E15BBE"/>
    <w:rsid w:val="00E43BD1"/>
    <w:rsid w:val="00E74FD6"/>
    <w:rsid w:val="00E7612C"/>
    <w:rsid w:val="00E9235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1D073"/>
  <w15:docId w15:val="{C1B12743-2902-4D4C-AB4C-8531BFD9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8F3BAB"/>
  </w:style>
  <w:style w:type="paragraph" w:styleId="Heading1">
    <w:name w:val="heading 1"/>
    <w:basedOn w:val="Normal"/>
    <w:next w:val="Normal"/>
    <w:link w:val="Heading1Char"/>
    <w:uiPriority w:val="9"/>
    <w:qFormat/>
    <w:rsid w:val="008F3BA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2E4448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BA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2E4448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BA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2E4448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3BA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3E5C61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3B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3E5C61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F3B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E5C61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3B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3E5C61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3B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3E5C61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3B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E5C61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3BA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27980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3BA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 w:val="0"/>
      <w:caps w:val="0"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3BAB"/>
    <w:rPr>
      <w:rFonts w:asciiTheme="majorHAnsi" w:eastAsiaTheme="majorEastAsia" w:hAnsiTheme="majorHAnsi" w:cstheme="majorBidi"/>
      <w:color w:val="2E4448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F3BAB"/>
    <w:rPr>
      <w:rFonts w:asciiTheme="majorHAnsi" w:eastAsiaTheme="majorEastAsia" w:hAnsiTheme="majorHAnsi" w:cstheme="majorBidi"/>
      <w:color w:val="2E4448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F3BAB"/>
    <w:rPr>
      <w:rFonts w:asciiTheme="majorHAnsi" w:eastAsiaTheme="majorEastAsia" w:hAnsiTheme="majorHAnsi" w:cstheme="majorBidi"/>
      <w:color w:val="2E4448" w:themeColor="accent6" w:themeShade="BF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F3BAB"/>
    <w:rPr>
      <w:rFonts w:asciiTheme="majorHAnsi" w:eastAsiaTheme="majorEastAsia" w:hAnsiTheme="majorHAnsi" w:cstheme="majorBidi"/>
      <w:color w:val="527980" w:themeColor="text1" w:themeTint="D9"/>
      <w:spacing w:val="-15"/>
      <w:sz w:val="96"/>
      <w:szCs w:val="9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8F3BAB"/>
    <w:pPr>
      <w:spacing w:before="160"/>
      <w:ind w:left="720" w:right="720"/>
      <w:jc w:val="center"/>
    </w:pPr>
    <w:rPr>
      <w:i/>
      <w:iCs/>
      <w:color w:val="527980" w:themeColor="text1" w:themeTint="D9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8F3BAB"/>
    <w:rPr>
      <w:i/>
      <w:iCs/>
      <w:color w:val="527980" w:themeColor="text1" w:themeTint="D9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qFormat/>
    <w:rsid w:val="008F3BA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328A"/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F3BAB"/>
    <w:rPr>
      <w:rFonts w:asciiTheme="majorHAnsi" w:eastAsiaTheme="majorEastAsia" w:hAnsiTheme="majorHAnsi" w:cstheme="majorBidi"/>
      <w:color w:val="3E5C61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F3BAB"/>
    <w:rPr>
      <w:rFonts w:asciiTheme="majorHAnsi" w:eastAsiaTheme="majorEastAsia" w:hAnsiTheme="majorHAnsi" w:cstheme="majorBidi"/>
      <w:i/>
      <w:iCs/>
      <w:color w:val="3E5C61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F3BAB"/>
    <w:rPr>
      <w:rFonts w:asciiTheme="majorHAnsi" w:eastAsiaTheme="majorEastAsia" w:hAnsiTheme="majorHAnsi" w:cstheme="majorBidi"/>
      <w:color w:val="3E5C61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3BAB"/>
    <w:rPr>
      <w:rFonts w:asciiTheme="majorHAnsi" w:eastAsiaTheme="majorEastAsia" w:hAnsiTheme="majorHAnsi" w:cstheme="majorBidi"/>
      <w:b/>
      <w:bCs/>
      <w:color w:val="3E5C61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3BAB"/>
    <w:rPr>
      <w:rFonts w:asciiTheme="majorHAnsi" w:eastAsiaTheme="majorEastAsia" w:hAnsiTheme="majorHAnsi" w:cstheme="majorBidi"/>
      <w:b/>
      <w:bCs/>
      <w:i/>
      <w:iCs/>
      <w:color w:val="3E5C61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3BAB"/>
    <w:rPr>
      <w:rFonts w:asciiTheme="majorHAnsi" w:eastAsiaTheme="majorEastAsia" w:hAnsiTheme="majorHAnsi" w:cstheme="majorBidi"/>
      <w:i/>
      <w:iCs/>
      <w:color w:val="3E5C61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3BAB"/>
    <w:pPr>
      <w:spacing w:line="240" w:lineRule="auto"/>
    </w:pPr>
    <w:rPr>
      <w:b/>
      <w:bCs/>
      <w:smallCaps/>
      <w:color w:val="739EA5" w:themeColor="text1" w:themeTint="A6"/>
    </w:rPr>
  </w:style>
  <w:style w:type="character" w:customStyle="1" w:styleId="SubtitleChar">
    <w:name w:val="Subtitle Char"/>
    <w:basedOn w:val="DefaultParagraphFont"/>
    <w:link w:val="Subtitle"/>
    <w:uiPriority w:val="11"/>
    <w:rsid w:val="008F3BA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8F3BAB"/>
    <w:rPr>
      <w:b/>
      <w:bCs/>
    </w:rPr>
  </w:style>
  <w:style w:type="character" w:styleId="Emphasis">
    <w:name w:val="Emphasis"/>
    <w:basedOn w:val="DefaultParagraphFont"/>
    <w:uiPriority w:val="20"/>
    <w:qFormat/>
    <w:rsid w:val="008F3BAB"/>
    <w:rPr>
      <w:i/>
      <w:iCs/>
      <w:color w:val="3E5C61" w:themeColor="accent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3BA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3E5C61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3BAB"/>
    <w:rPr>
      <w:rFonts w:asciiTheme="majorHAnsi" w:eastAsiaTheme="majorEastAsia" w:hAnsiTheme="majorHAnsi" w:cstheme="majorBidi"/>
      <w:i/>
      <w:iCs/>
      <w:color w:val="3E5C61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F3BA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F3BA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F3BAB"/>
    <w:rPr>
      <w:smallCaps/>
      <w:color w:val="739EA5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8F3BAB"/>
    <w:rPr>
      <w:b/>
      <w:bCs/>
      <w:smallCaps/>
      <w:color w:val="3E5C61" w:themeColor="accent6"/>
    </w:rPr>
  </w:style>
  <w:style w:type="character" w:styleId="BookTitle">
    <w:name w:val="Book Title"/>
    <w:basedOn w:val="DefaultParagraphFont"/>
    <w:uiPriority w:val="33"/>
    <w:qFormat/>
    <w:rsid w:val="008F3BA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BAB"/>
    <w:pPr>
      <w:outlineLvl w:val="9"/>
    </w:pPr>
  </w:style>
  <w:style w:type="paragraph" w:styleId="Revision">
    <w:name w:val="Revision"/>
    <w:hidden/>
    <w:uiPriority w:val="99"/>
    <w:semiHidden/>
    <w:rsid w:val="00785325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A26154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wnload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6E3EB30AF149CE9ACD87D67904A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01013-13A7-4131-B6FF-884DB8282877}"/>
      </w:docPartPr>
      <w:docPartBody>
        <w:p w:rsidR="00A039AF" w:rsidRDefault="00F32E83">
          <w:pPr>
            <w:pStyle w:val="C26E3EB30AF149CE9ACD87D67904A34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83"/>
    <w:rsid w:val="0001772F"/>
    <w:rsid w:val="000C77A1"/>
    <w:rsid w:val="001405FD"/>
    <w:rsid w:val="00320BD5"/>
    <w:rsid w:val="003E0C9B"/>
    <w:rsid w:val="00404B07"/>
    <w:rsid w:val="00A039AF"/>
    <w:rsid w:val="00A94486"/>
    <w:rsid w:val="00F32E83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26E3EB30AF149CE9ACD87D67904A347">
    <w:name w:val="C26E3EB30AF149CE9ACD87D67904A3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C9F1B-37EE-4EAA-B42D-D3A65D63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Instructions.dotx</Template>
  <TotalTime>2588</TotalTime>
  <Pages>3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Greening of the Waters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Greening of the Waters</dc:title>
  <dc:creator>k20center@ou.edu</dc:creator>
  <cp:lastModifiedBy>Shaffery, Heather M.</cp:lastModifiedBy>
  <cp:revision>14</cp:revision>
  <cp:lastPrinted>2016-07-14T14:08:00Z</cp:lastPrinted>
  <dcterms:created xsi:type="dcterms:W3CDTF">2021-08-19T19:30:00Z</dcterms:created>
  <dcterms:modified xsi:type="dcterms:W3CDTF">2022-08-02T21:01:00Z</dcterms:modified>
</cp:coreProperties>
</file>