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1408B35" w14:textId="77777777" w:rsidR="006B3499" w:rsidRDefault="001E6D99">
      <w:pPr>
        <w:pStyle w:val="Title"/>
        <w:bidi w:val="0"/>
      </w:pPr>
      <w:r>
        <w:rPr>
          <w:lang w:val="es"/>
          <w:b w:val="1"/>
          <w:bCs w:val="1"/>
          <w:i w:val="0"/>
          <w:iCs w:val="0"/>
          <w:u w:val="none"/>
          <w:vertAlign w:val="baseline"/>
          <w:rtl w:val="0"/>
        </w:rPr>
        <w:t xml:space="preserve">Lectura 3: La Gran Migración al oeste</w:t>
      </w:r>
    </w:p>
    <w:p w14:paraId="442937CF" w14:textId="77777777" w:rsidR="006B3499" w:rsidRDefault="001E6D99">
      <w:pPr>
        <w:rPr>
          <w:sz w:val="22"/>
          <w:szCs w:val="22"/>
        </w:rPr>
        <w:bidi w:val="0"/>
      </w:pPr>
      <w:r>
        <w:rPr>
          <w:sz w:val="22"/>
          <w:szCs w:val="22"/>
          <w:lang w:val="es"/>
          <w:b w:val="0"/>
          <w:bCs w:val="0"/>
          <w:i w:val="0"/>
          <w:iCs w:val="0"/>
          <w:u w:val="none"/>
          <w:vertAlign w:val="baseline"/>
          <w:rtl w:val="0"/>
        </w:rPr>
        <w:t xml:space="preserve">La Gran Depresión fue un periodo de la historia estadounidense en el que se produjo el colapso de la economía de los Estados Unidos, el rápido cierre de fábricas y la falta de producción de bienes y alimentos, lo que provocó dificultades generalizadas para prácticamente todos los estadounidenses. A partir del crac bursátil de octubre de 1929, que hizo desaparecer millones de dólares en inversiones, Estados Unidos entró en una época marcada por la pobreza extrema, el desempleo y la falta de vivienda.  </w:t>
      </w:r>
    </w:p>
    <w:p w14:paraId="7C4EEBF1" w14:textId="77777777" w:rsidR="006B3499" w:rsidRDefault="001E6D99">
      <w:pPr>
        <w:rPr>
          <w:sz w:val="22"/>
          <w:szCs w:val="22"/>
        </w:rPr>
        <w:bidi w:val="0"/>
      </w:pPr>
      <w:r>
        <w:rPr>
          <w:sz w:val="22"/>
          <w:szCs w:val="22"/>
          <w:lang w:val="es"/>
          <w:b w:val="0"/>
          <w:bCs w:val="0"/>
          <w:i w:val="0"/>
          <w:iCs w:val="0"/>
          <w:u w:val="none"/>
          <w:vertAlign w:val="baseline"/>
          <w:rtl w:val="0"/>
        </w:rPr>
        <w:t xml:space="preserve">Un segmento de la economía estadounidense que se vio muy afectado por la Gran Depresión fue la agricultura.  Los agricultores solían pedir dinero prestado a los bancos para comprar semillas y equipos para las cosechas. Para devolver estos préstamos, los agricultores utilizaban las ganancias de sus cosechas cuando estas se vendían en el mercado. Con tanta gente sin trabajo en todo el país, la gente gastaba menos dinero, los precios de las cosechas y de los alimentos cayeron, y los agricultores no pudieron devolver sus préstamos. Muchos agricultores perdieron sus granjas cuando los bancos pidieron que devolvieran estos préstamos. </w:t>
      </w:r>
    </w:p>
    <w:p w14:paraId="7ABE8464" w14:textId="77777777" w:rsidR="006B3499" w:rsidRDefault="001E6D99">
      <w:pPr>
        <w:rPr>
          <w:sz w:val="22"/>
          <w:szCs w:val="22"/>
        </w:rPr>
        <w:bidi w:val="0"/>
      </w:pPr>
      <w:r>
        <w:rPr>
          <w:sz w:val="22"/>
          <w:szCs w:val="22"/>
          <w:lang w:val="es"/>
          <w:b w:val="0"/>
          <w:bCs w:val="0"/>
          <w:i w:val="0"/>
          <w:iCs w:val="0"/>
          <w:u w:val="none"/>
          <w:vertAlign w:val="baseline"/>
          <w:rtl w:val="0"/>
        </w:rPr>
        <w:t xml:space="preserve">La conservación del suelo y la rotación de cultivos no eran prácticas tan conocidas por los agricultores de los años 30. Las tierras que antes eran aptas para el cultivo se "agotaron" o perdieron sus nutrientes y ya no pudieron dar una buena cosecha.  Para empeorar las cosas, las granjas de las Grandes Llanuras sufrieron una sequía de siete años a partir de 1931, seguida de vientos turbulentos y llenos de polvo en 1932. Los testigos de estas tormentas de polvo decían que el polvo era tan denso que el día se convertía en noche. A este acontecimiento y a la región se les conoció colectivamente como el "Cuenco de Polvo". Los acontecimientos provocados por el Cuenco de Polvo obligaron a las familias de agricultores a abandonar sus granjas desgastadas o en bancarrota y a encontrar nuevos trabajos agrícolas en otro lugar. "Okies" y "Arkies" eran términos despectivos utilizados para describir a las familias que se dirigían al oeste, desde Oklahoma y Arkansas hacia California y Arizona, en búsqueda de trabajo.</w:t>
      </w:r>
    </w:p>
    <w:p w14:paraId="79E9FCAA" w14:textId="77777777" w:rsidR="006B3499" w:rsidRDefault="001E6D99">
      <w:pPr>
        <w:rPr>
          <w:sz w:val="22"/>
          <w:szCs w:val="22"/>
        </w:rPr>
        <w:bidi w:val="0"/>
      </w:pPr>
      <w:r>
        <w:rPr>
          <w:sz w:val="22"/>
          <w:szCs w:val="22"/>
          <w:lang w:val="es"/>
          <w:b w:val="0"/>
          <w:bCs w:val="0"/>
          <w:i w:val="0"/>
          <w:iCs w:val="0"/>
          <w:u w:val="none"/>
          <w:vertAlign w:val="baseline"/>
          <w:rtl w:val="0"/>
        </w:rPr>
        <w:t xml:space="preserve">Se calcula que, para el año 1937, había entre 250 000 y 300 000 trabajadores migrantes que viajaban por todo Estados Unidos y que trabajaban temporalmente en granjas. California se convirtió en un lugar ideal para los trabajadores migrantes debido al clima templado, la larga temporada de cultivo y la diversidad de cosechas de este estado. Los trabajadores eran abundantes, pero la producción de cultivos no. La competencia por los puestos de trabajo hacía que los salarios fueran bajos, porque los propietarios de las explotaciones agrícolas o los capataces podían decidir quién trabajaba y quién no. Un ejemplo del sueldo que los emigrantes en California obtenían en 1933 era de doce centavos por hora. Los migrantes trabajaban por estos bajos sueldos y, para sobrevivir, familias enteras solían trabajar en el campo de sol a sol.  </w:t>
      </w:r>
    </w:p>
    <w:p w14:paraId="208F0E34" w14:textId="77777777" w:rsidR="006B3499" w:rsidRDefault="001E6D99">
      <w:pPr>
        <w:rPr>
          <w:sz w:val="22"/>
          <w:szCs w:val="22"/>
        </w:rPr>
        <w:bidi w:val="0"/>
      </w:pPr>
      <w:r>
        <w:rPr>
          <w:sz w:val="22"/>
          <w:szCs w:val="22"/>
          <w:lang w:val="es"/>
          <w:b w:val="0"/>
          <w:bCs w:val="0"/>
          <w:i w:val="0"/>
          <w:iCs w:val="0"/>
          <w:u w:val="none"/>
          <w:vertAlign w:val="baseline"/>
          <w:rtl w:val="0"/>
        </w:rPr>
        <w:t xml:space="preserve">Para mantener un trabajo estable, los trabajadores migrantes viajaban por el estado a medida que se recogían las diferentes cosechas. Cuando se podía encontrar trabajo en una granja, los migrantes instalaban ciudades de tiendas de campaña en las cercanías, a menudo sin agua corriente, instalaciones sanitarias o electricidad. En 1937, el presidente Roosevelt creó la Administración de Seguridad Agrícola (FSA, por sus siglas en inglés) para ayudar a los agricultores y a los trabajadores migrantes. La FSA creó campamentos de migrantes con agua corriente y viviendas más sólidas. Algunos hijos de trabajadores migrantes incluso recibieron una escolarización temporal en estos campamentos de la FSA. Los administradores de la FSA mantuvieron los campamentos abiertos, pero los propios trabajadores migrantes determinaron las normas de vida en los campamentos mediante las decisiones que tomaban en los consejos del campamento. </w:t>
      </w:r>
    </w:p>
    <w:p w14:paraId="2B20B1E4" w14:textId="77777777" w:rsidR="006B3499" w:rsidRDefault="001E6D99">
      <w:pPr>
        <w:pStyle w:val="Heading1"/>
        <w:bidi w:val="0"/>
      </w:pPr>
      <w:r>
        <w:rPr>
          <w:lang w:val="es"/>
          <w:b w:val="1"/>
          <w:bCs w:val="1"/>
          <w:i w:val="0"/>
          <w:iCs w:val="0"/>
          <w:u w:val="none"/>
          <w:vertAlign w:val="baseline"/>
          <w:rtl w:val="0"/>
        </w:rPr>
        <w:t xml:space="preserve">Fuente:</w:t>
      </w:r>
    </w:p>
    <w:p w14:paraId="205538DE" w14:textId="77777777" w:rsidR="006B3499" w:rsidRDefault="001E6D99">
      <w:pPr>
        <w:pBdr>
          <w:top w:val="nil"/>
          <w:left w:val="nil"/>
          <w:bottom w:val="nil"/>
          <w:right w:val="nil"/>
          <w:between w:val="nil"/>
        </w:pBdr>
        <w:ind w:left="720" w:hanging="720"/>
        <w:rPr>
          <w:i/>
          <w:color w:val="3E5C61"/>
          <w:sz w:val="18"/>
          <w:szCs w:val="18"/>
        </w:rPr>
        <w:bidi w:val="0"/>
      </w:pPr>
      <w:r>
        <w:rPr>
          <w:color w:val="3E5C61"/>
          <w:sz w:val="18"/>
          <w:szCs w:val="18"/>
          <w:lang w:val="es"/>
          <w:b w:val="0"/>
          <w:bCs w:val="0"/>
          <w:i w:val="1"/>
          <w:iCs w:val="1"/>
          <w:u w:val="none"/>
          <w:vertAlign w:val="baseline"/>
          <w:rtl w:val="0"/>
        </w:rPr>
        <w:t xml:space="preserve">Fanslow, R. A. </w:t>
      </w:r>
      <w:r>
        <w:rPr>
          <w:color w:val="3E5C61"/>
          <w:sz w:val="18"/>
          <w:szCs w:val="18"/>
          <w:lang w:val="es"/>
          <w:b w:val="0"/>
          <w:bCs w:val="0"/>
          <w:i w:val="1"/>
          <w:iCs w:val="1"/>
          <w:u w:val="none"/>
          <w:vertAlign w:val="baseline"/>
          <w:rtl w:val="0"/>
        </w:rPr>
        <w:t xml:space="preserve">(6 de abril de 1998). </w:t>
      </w:r>
      <w:r>
        <w:rPr>
          <w:color w:val="3E5C61"/>
          <w:sz w:val="18"/>
          <w:szCs w:val="18"/>
          <w:lang w:val="es"/>
          <w:b w:val="0"/>
          <w:bCs w:val="0"/>
          <w:i w:val="1"/>
          <w:iCs w:val="1"/>
          <w:u w:val="none"/>
          <w:vertAlign w:val="baseline"/>
          <w:rtl w:val="0"/>
        </w:rPr>
        <w:t xml:space="preserve">The migrant experience. </w:t>
      </w:r>
      <w:r>
        <w:rPr>
          <w:color w:val="3E5C61"/>
          <w:sz w:val="18"/>
          <w:szCs w:val="18"/>
          <w:lang w:val="es"/>
          <w:b w:val="0"/>
          <w:bCs w:val="0"/>
          <w:i w:val="1"/>
          <w:iCs w:val="1"/>
          <w:u w:val="none"/>
          <w:vertAlign w:val="baseline"/>
          <w:rtl w:val="0"/>
        </w:rPr>
        <w:t xml:space="preserve">Voices from the Dust Bowl: the Charles L. Todd and Robert Sonkin migrant worker collection, 1940 to 1941. </w:t>
      </w:r>
      <w:r>
        <w:rPr>
          <w:color w:val="3E5C61"/>
          <w:sz w:val="18"/>
          <w:szCs w:val="18"/>
          <w:lang w:val="es"/>
          <w:b w:val="0"/>
          <w:bCs w:val="0"/>
          <w:i w:val="1"/>
          <w:iCs w:val="1"/>
          <w:u w:val="none"/>
          <w:vertAlign w:val="baseline"/>
          <w:rtl w:val="0"/>
        </w:rPr>
        <w:t xml:space="preserve">Biblioteca del Congreso. </w:t>
      </w:r>
      <w:hyperlink r:id="rId7">
        <w:r>
          <w:rPr>
            <w:color w:val="1155CC"/>
            <w:sz w:val="18"/>
            <w:szCs w:val="18"/>
            <w:lang w:val="es"/>
            <w:b w:val="0"/>
            <w:bCs w:val="0"/>
            <w:i w:val="1"/>
            <w:iCs w:val="1"/>
            <w:u w:val="single"/>
            <w:vertAlign w:val="baseline"/>
            <w:rtl w:val="0"/>
          </w:rPr>
          <w:t xml:space="preserve">https://www.loc.gov/collections/todd-and-sonkin-migrant-workers-from-1940-to-1941/articles-and-essays/the-migrant-experience/</w:t>
        </w:r>
      </w:hyperlink>
    </w:p>
    <w:sectPr w:rsidR="006B34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B43F8" w14:textId="77777777" w:rsidR="001E6D99" w:rsidRDefault="001E6D99">
      <w:pPr>
        <w:spacing w:after="0" w:line="240" w:lineRule="auto"/>
      </w:pPr>
      <w:r>
        <w:separator/>
      </w:r>
    </w:p>
  </w:endnote>
  <w:endnote w:type="continuationSeparator" w:id="0">
    <w:p w14:paraId="52B5D1E9" w14:textId="77777777" w:rsidR="001E6D99" w:rsidRDefault="001E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FAE95" w14:textId="77777777" w:rsidR="006977D2" w:rsidRDefault="00697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3A51D" w14:textId="77777777" w:rsidR="006B3499" w:rsidRDefault="001E6D99">
    <w:pPr>
      <w:pBdr>
        <w:top w:val="nil"/>
        <w:left w:val="nil"/>
        <w:bottom w:val="nil"/>
        <w:right w:val="nil"/>
        <w:between w:val="nil"/>
      </w:pBdr>
      <w:tabs>
        <w:tab w:val="center" w:pos="4680"/>
        <w:tab w:val="right" w:pos="9360"/>
      </w:tabs>
      <w:spacing w:after="0" w:line="240" w:lineRule="auto"/>
      <w:rPr>
        <w:color w:val="000000"/>
      </w:rPr>
      <w:bidi w:val="0"/>
    </w:pPr>
    <w:r>
      <w:rPr>
        <w:noProof/>
        <w:lang w:val="es"/>
        <w:b w:val="0"/>
        <w:bCs w:val="0"/>
        <w:i w:val="0"/>
        <w:iCs w:val="0"/>
        <w:u w:val="none"/>
        <w:vertAlign w:val="baseline"/>
        <w:rtl w:val="0"/>
      </w:rPr>
      <w:drawing>
        <wp:anchor distT="0" distB="0" distL="0" distR="0" simplePos="0" relativeHeight="251658240" behindDoc="0" locked="0" layoutInCell="1" hidden="0" allowOverlap="1" wp14:anchorId="3FDDEFCC" wp14:editId="4045313D">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b w:val="0"/>
        <w:bCs w:val="0"/>
        <w:i w:val="0"/>
        <w:iCs w:val="0"/>
        <w:u w:val="none"/>
        <w:vertAlign w:val="baseline"/>
        <w:rtl w:val="0"/>
      </w:rPr>
      <mc:AlternateContent>
        <mc:Choice Requires="wpg">
          <w:drawing>
            <wp:anchor distT="0" distB="0" distL="114300" distR="114300" simplePos="0" relativeHeight="251659264" behindDoc="0" locked="0" layoutInCell="1" hidden="0" allowOverlap="1" wp14:anchorId="397EB99E" wp14:editId="4DA3AEAD">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2C1DC17" w14:textId="77777777" w:rsidR="006B3499" w:rsidRDefault="001E6D99">
                          <w:pPr>
                            <w:spacing w:after="0" w:line="240" w:lineRule="auto"/>
                            <w:jc w:val="right"/>
                            <w:textDirection w:val="btLr"/>
                            <w:bidi w:val="0"/>
                          </w:pPr>
                          <w:r>
                            <w:rPr>
                              <w:rFonts w:ascii="Arial" w:cs="Arial" w:eastAsia="Arial" w:hAnsi="Arial"/>
                              <w:smallCaps/>
                              <w:color w:val="2D2D2D"/>
                              <w:lang w:val="es"/>
                              <w:b w:val="1"/>
                              <w:bCs w:val="1"/>
                              <w:i w:val="0"/>
                              <w:iCs w:val="0"/>
                              <w:u w:val="none"/>
                              <w:vertAlign w:val="baseline"/>
                              <w:rtl w:val="0"/>
                            </w:rPr>
                            <w:t xml:space="preserve">Of Mice and Men in the Great Depression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295275"/>
              <wp:effectExtent b="0" l="0" r="0" t="0"/>
              <wp:wrapNone/>
              <wp:docPr id="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010025" cy="29527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9E392" w14:textId="77777777" w:rsidR="006977D2" w:rsidRDefault="00697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69B37" w14:textId="77777777" w:rsidR="001E6D99" w:rsidRDefault="001E6D99">
      <w:pPr>
        <w:spacing w:after="0" w:line="240" w:lineRule="auto"/>
      </w:pPr>
      <w:r>
        <w:separator/>
      </w:r>
    </w:p>
  </w:footnote>
  <w:footnote w:type="continuationSeparator" w:id="0">
    <w:p w14:paraId="66845E2B" w14:textId="77777777" w:rsidR="001E6D99" w:rsidRDefault="001E6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A5892" w14:textId="77777777" w:rsidR="006977D2" w:rsidRDefault="00697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4812D" w14:textId="77777777" w:rsidR="006977D2" w:rsidRDefault="00697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88705" w14:textId="77777777" w:rsidR="006977D2" w:rsidRDefault="006977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499"/>
    <w:rsid w:val="001E6D99"/>
    <w:rsid w:val="006977D2"/>
    <w:rsid w:val="006B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D021B"/>
  <w15:docId w15:val="{C1880FD4-F38E-464F-B634-BFAAE116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DF7469"/>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ode="External" Target="https://www.loc.gov/collections/todd-and-sonkin-migrant-workers-from-1940-to-1941/articles-and-essays/the-migrant-experience/"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footer2.xml.rels><?xml version="1.0" encoding="UTF-8" standalone="yes"?>
<Relationships xmlns="http://schemas.openxmlformats.org/package/2006/relationships"><Relationship Id="rId2" Type="http://schemas.openxmlformats.org/officeDocument/2006/relationships/image" Target="media/image1.png" /><Relationship Id="rId1" Type="http://schemas.openxmlformats.org/officeDocument/2006/relationships/image" Target="media/image1.jpg" /></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499BEA-66BD-1E4D-90AA-57416FB8A232}">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Zy7xCsv5EBJZC16y5tnycaIvB0w==">AMUW2mVUAHMTNhIDUXuomknQggB1uugKvhjCb1CuqGJ1uZmeG/GWw+EIfwTpd7tgVEeBnbmVQ0ssf/PyYV53oulWeTWbZAJQRqyuSqU7iyFZE3HDgcrfsE4=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Walters, Darrin J.</cp:lastModifiedBy>
  <cp:revision>2</cp:revision>
  <dcterms:created xsi:type="dcterms:W3CDTF">2020-06-24T17:50:00Z</dcterms:created>
  <dcterms:modified xsi:type="dcterms:W3CDTF">2020-07-29T18:48:00Z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documentId_442</vt:lpwstr>
  </property>
</Properties>
</file>