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50E788FB" w14:textId="77777777" w:rsidR="004F63F2" w:rsidRDefault="00EE4044">
      <w:pPr>
        <w:pStyle w:val="Title"/>
        <w:bidi w:val="0"/>
      </w:pPr>
      <w:r>
        <w:rPr>
          <w:lang w:val="es"/>
          <w:b w:val="1"/>
          <w:bCs w:val="1"/>
          <w:i w:val="0"/>
          <w:iCs w:val="0"/>
          <w:u w:val="none"/>
          <w:vertAlign w:val="baseline"/>
          <w:rtl w:val="0"/>
        </w:rPr>
        <w:t xml:space="preserve">Clasificación de tarjetas sobre la evolución</w:t>
      </w:r>
    </w:p>
    <w:tbl>
      <w:tblPr>
        <w:tblStyle w:val="a0"/>
        <w:tblW w:w="12672" w:type="dxa"/>
        <w:tblLayout w:type="fixed"/>
        <w:tblLook w:val="0600" w:firstRow="0" w:lastRow="0" w:firstColumn="0" w:lastColumn="0" w:noHBand="1" w:noVBand="1"/>
      </w:tblPr>
      <w:tblGrid>
        <w:gridCol w:w="6336"/>
        <w:gridCol w:w="6336"/>
      </w:tblGrid>
      <w:tr w:rsidR="004F63F2" w14:paraId="399DD114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5D7EE70A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  <w:bidi w:val="0"/>
            </w:pPr>
            <w:r>
              <w:rPr>
                <w:color w:val="910D28"/>
                <w:lang w:val="es"/>
                <w:b w:val="1"/>
                <w:bCs w:val="1"/>
                <w:i w:val="0"/>
                <w:iCs w:val="0"/>
                <w:u w:val="none"/>
                <w:vertAlign w:val="baseline"/>
                <w:rtl w:val="0"/>
              </w:rPr>
              <w:t xml:space="preserve">Embriología</w:t>
            </w:r>
          </w:p>
          <w:p w14:paraId="68724D03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  <w:bidi w:val="0"/>
            </w:pPr>
            <w:r>
              <w:rPr>
                <w:color w:val="000000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Rama de la biología y la medicina que se ocupa del estudio de los embriones y su desarrollo.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040158E4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  <w:bidi w:val="0"/>
            </w:pPr>
            <w:r>
              <w:rPr>
                <w:color w:val="910D28"/>
                <w:lang w:val="es"/>
                <w:b w:val="1"/>
                <w:bCs w:val="1"/>
                <w:i w:val="0"/>
                <w:iCs w:val="0"/>
                <w:u w:val="none"/>
                <w:vertAlign w:val="baseline"/>
                <w:rtl w:val="0"/>
              </w:rPr>
              <w:t xml:space="preserve">Selección direccional</w:t>
            </w:r>
          </w:p>
          <w:p w14:paraId="42BBCC6A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  <w:bidi w:val="0"/>
            </w:pPr>
            <w:r>
              <w:rPr>
                <w:color w:val="000000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Una selección que provoca un cambio de frecuencia que favorece un fenotipo extremo.</w:t>
            </w:r>
          </w:p>
        </w:tc>
      </w:tr>
      <w:tr w:rsidR="004F63F2" w14:paraId="56202158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766ACC8C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  <w:bidi w:val="0"/>
            </w:pPr>
            <w:r>
              <w:rPr>
                <w:color w:val="910D28"/>
                <w:lang w:val="es"/>
                <w:b w:val="1"/>
                <w:bCs w:val="1"/>
                <w:i w:val="0"/>
                <w:iCs w:val="0"/>
                <w:u w:val="none"/>
                <w:vertAlign w:val="baseline"/>
                <w:rtl w:val="0"/>
              </w:rPr>
              <w:t xml:space="preserve">Estructuras vestigiales</w:t>
            </w:r>
          </w:p>
          <w:p w14:paraId="7A36005B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  <w:bidi w:val="0"/>
            </w:pPr>
            <w:r>
              <w:rPr>
                <w:color w:val="000000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Heredadas, pero de tamaño reducido, a menudo no utilizadas y que ya no sirven para su propósito.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04B899AD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  <w:bidi w:val="0"/>
            </w:pPr>
            <w:r>
              <w:rPr>
                <w:color w:val="910D28"/>
                <w:lang w:val="es"/>
                <w:b w:val="1"/>
                <w:bCs w:val="1"/>
                <w:i w:val="0"/>
                <w:iCs w:val="0"/>
                <w:u w:val="none"/>
                <w:vertAlign w:val="baseline"/>
                <w:rtl w:val="0"/>
              </w:rPr>
              <w:t xml:space="preserve">Fósil</w:t>
            </w:r>
          </w:p>
          <w:p w14:paraId="38EC23A4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  <w:bidi w:val="0"/>
            </w:pPr>
            <w:r>
              <w:rPr>
                <w:color w:val="000000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Restos conservados o huellas de organismos primitivos.</w:t>
            </w:r>
          </w:p>
        </w:tc>
      </w:tr>
      <w:tr w:rsidR="004F63F2" w14:paraId="073588E7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29AC13D9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  <w:bidi w:val="0"/>
            </w:pPr>
            <w:r>
              <w:rPr>
                <w:color w:val="910D28"/>
                <w:lang w:val="es"/>
                <w:b w:val="1"/>
                <w:bCs w:val="1"/>
                <w:i w:val="0"/>
                <w:iCs w:val="0"/>
                <w:u w:val="none"/>
                <w:vertAlign w:val="baseline"/>
                <w:rtl w:val="0"/>
              </w:rPr>
              <w:t xml:space="preserve">Estructuras homólogas</w:t>
            </w:r>
          </w:p>
          <w:p w14:paraId="49822E5E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  <w:bidi w:val="0"/>
            </w:pPr>
            <w:r>
              <w:rPr>
                <w:color w:val="000000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Rasgos que son similares en diferentes especies porque la especie comparte un antepasado común.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2239B161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  <w:bidi w:val="0"/>
            </w:pPr>
            <w:r>
              <w:rPr>
                <w:color w:val="910D28"/>
                <w:lang w:val="es"/>
                <w:b w:val="1"/>
                <w:bCs w:val="1"/>
                <w:i w:val="0"/>
                <w:iCs w:val="0"/>
                <w:u w:val="none"/>
                <w:vertAlign w:val="baseline"/>
                <w:rtl w:val="0"/>
              </w:rPr>
              <w:t xml:space="preserve">Bioquímica</w:t>
            </w:r>
          </w:p>
          <w:p w14:paraId="1A5698ED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  <w:bidi w:val="0"/>
            </w:pPr>
            <w:r>
              <w:rPr>
                <w:color w:val="000000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Rama de la ciencia que explora los procesos químicos dentro de los organismos vivos y que están relacionados con tales organismos.</w:t>
            </w:r>
          </w:p>
        </w:tc>
      </w:tr>
      <w:tr w:rsidR="004F63F2" w14:paraId="07B28A8D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2BD1C05D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  <w:bidi w:val="0"/>
            </w:pPr>
            <w:r>
              <w:rPr>
                <w:color w:val="910D28"/>
                <w:lang w:val="es"/>
                <w:b w:val="1"/>
                <w:bCs w:val="1"/>
                <w:i w:val="0"/>
                <w:iCs w:val="0"/>
                <w:u w:val="none"/>
                <w:vertAlign w:val="baseline"/>
                <w:rtl w:val="0"/>
              </w:rPr>
              <w:t xml:space="preserve">Estructuras análogas</w:t>
            </w:r>
          </w:p>
          <w:p w14:paraId="28CD7D56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  <w:bidi w:val="0"/>
            </w:pPr>
            <w:r>
              <w:rPr>
                <w:color w:val="000000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Estructuras que son similares en su función pero que no son heredadas de un ancestro común.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6E4E2601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  <w:bidi w:val="0"/>
            </w:pPr>
            <w:r>
              <w:rPr>
                <w:color w:val="910D28"/>
                <w:lang w:val="es"/>
                <w:b w:val="1"/>
                <w:bCs w:val="1"/>
                <w:i w:val="0"/>
                <w:iCs w:val="0"/>
                <w:u w:val="none"/>
                <w:vertAlign w:val="baseline"/>
                <w:rtl w:val="0"/>
              </w:rPr>
              <w:t xml:space="preserve">Selección estabilizadora (equilibrio genético)</w:t>
            </w:r>
          </w:p>
          <w:p w14:paraId="4714E56E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  <w:bidi w:val="0"/>
            </w:pPr>
            <w:r>
              <w:rPr>
                <w:color w:val="000000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Estado constante de la frecuencia alélica.</w:t>
            </w:r>
          </w:p>
        </w:tc>
      </w:tr>
      <w:tr w:rsidR="004F63F2" w14:paraId="68F05E1C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6779F1AD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  <w:bidi w:val="0"/>
            </w:pPr>
            <w:r>
              <w:rPr>
                <w:color w:val="910D28"/>
                <w:lang w:val="es"/>
                <w:b w:val="1"/>
                <w:bCs w:val="1"/>
                <w:i w:val="0"/>
                <w:iCs w:val="0"/>
                <w:u w:val="none"/>
                <w:vertAlign w:val="baseline"/>
                <w:rtl w:val="0"/>
              </w:rPr>
              <w:t xml:space="preserve">Selección disruptiva</w:t>
            </w:r>
          </w:p>
          <w:p w14:paraId="4C396B5D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  <w:bidi w:val="0"/>
            </w:pPr>
            <w:r>
              <w:rPr>
                <w:color w:val="000000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Una selección que no favorece la variación más común dentro de una población.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shd w:val="clear" w:color="auto" w:fill="auto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51D8AFBE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  <w:bidi w:val="0"/>
            </w:pPr>
            <w:r>
              <w:rPr>
                <w:color w:val="910D28"/>
                <w:lang w:val="es"/>
                <w:b w:val="1"/>
                <w:bCs w:val="1"/>
                <w:i w:val="0"/>
                <w:iCs w:val="0"/>
                <w:u w:val="none"/>
                <w:vertAlign w:val="baseline"/>
                <w:rtl w:val="0"/>
              </w:rPr>
              <w:t xml:space="preserve">Tecnología del ADN</w:t>
            </w:r>
          </w:p>
          <w:p w14:paraId="00DAE784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Arial" w:eastAsia="Arial" w:hAnsi="Arial" w:cs="Arial"/>
                <w:color w:val="000000"/>
                <w:sz w:val="36"/>
                <w:szCs w:val="36"/>
              </w:rPr>
              <w:bidi w:val="0"/>
            </w:pPr>
            <w:r>
              <w:rPr>
                <w:color w:val="000000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t xml:space="preserve">La secuenciación, el análisis y el corte y pegado del ADN. Algunos ejemplos son la secuenciación, la reacción en cadena de la polimerasa, la clonación y la electroforesis en gel.</w:t>
            </w:r>
          </w:p>
        </w:tc>
      </w:tr>
    </w:tbl>
    <w:p w14:paraId="685749FD" w14:textId="77777777" w:rsidR="004F63F2" w:rsidRDefault="004F63F2"/>
    <w:tbl>
      <w:tblPr>
        <w:tblStyle w:val="a1"/>
        <w:tblW w:w="13391" w:type="dxa"/>
        <w:tblBorders>
          <w:top w:val="dashed" w:sz="4" w:space="0" w:color="3E5C61"/>
          <w:left w:val="dashed" w:sz="4" w:space="0" w:color="3E5C61"/>
          <w:bottom w:val="dashed" w:sz="4" w:space="0" w:color="3E5C61"/>
          <w:right w:val="dashed" w:sz="4" w:space="0" w:color="3E5C61"/>
          <w:insideH w:val="dashed" w:sz="4" w:space="0" w:color="3E5C61"/>
          <w:insideV w:val="dashed" w:sz="4" w:space="0" w:color="3E5C61"/>
        </w:tblBorders>
        <w:tblLayout w:type="fixed"/>
        <w:tblLook w:val="0400" w:firstRow="0" w:lastRow="0" w:firstColumn="0" w:lastColumn="0" w:noHBand="0" w:noVBand="1"/>
      </w:tblPr>
      <w:tblGrid>
        <w:gridCol w:w="4463"/>
        <w:gridCol w:w="4464"/>
        <w:gridCol w:w="4464"/>
      </w:tblGrid>
      <w:tr w:rsidR="004F63F2" w14:paraId="3E46E26A" w14:textId="77777777">
        <w:trPr>
          <w:trHeight w:val="7200"/>
        </w:trPr>
        <w:tc>
          <w:tcPr>
            <w:tcW w:w="4464" w:type="dxa"/>
            <w:vAlign w:val="center"/>
          </w:tcPr>
          <w:p w14:paraId="77BE50D7" w14:textId="77777777" w:rsidR="004F63F2" w:rsidRDefault="004F63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  <w:p w14:paraId="5B303174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color w:val="910D28"/>
              </w:rPr>
              <w:bidi w:val="0"/>
            </w:pPr>
            <w:r>
              <w:rPr>
                <w:noProof/>
                <w:color w:val="910D28"/>
                <w:lang w:val="es"/>
                <w:b w:val="1"/>
                <w:bCs w:val="1"/>
                <w:i w:val="0"/>
                <w:iCs w:val="0"/>
                <w:u w:val="none"/>
                <w:vertAlign w:val="baseline"/>
                <w:rtl w:val="0"/>
              </w:rPr>
              <w:drawing>
                <wp:inline distT="0" distB="0" distL="0" distR="0" wp14:anchorId="41080499" wp14:editId="6BA52ED5">
                  <wp:extent cx="2515117" cy="3758702"/>
                  <wp:effectExtent l="0" t="0" r="0" b="0"/>
                  <wp:docPr id="107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 t="23674" r="668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117" cy="37587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4" w:type="dxa"/>
            <w:vAlign w:val="center"/>
          </w:tcPr>
          <w:p w14:paraId="62E617F7" w14:textId="77777777" w:rsidR="004F63F2" w:rsidRDefault="004F63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  <w:p w14:paraId="30323CFE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color w:val="910D28"/>
              </w:rPr>
              <w:bidi w:val="0"/>
            </w:pPr>
            <w:r>
              <w:rPr>
                <w:noProof/>
                <w:color w:val="910D28"/>
                <w:lang w:val="es"/>
                <w:b w:val="1"/>
                <w:bCs w:val="1"/>
                <w:i w:val="0"/>
                <w:iCs w:val="0"/>
                <w:u w:val="none"/>
                <w:vertAlign w:val="baseline"/>
                <w:rtl w:val="0"/>
              </w:rPr>
              <w:drawing>
                <wp:inline distT="0" distB="0" distL="0" distR="0" wp14:anchorId="3B0285A2" wp14:editId="6ACD7330">
                  <wp:extent cx="2496418" cy="3758702"/>
                  <wp:effectExtent l="0" t="0" r="0" b="0"/>
                  <wp:docPr id="109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 l="67080" t="236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418" cy="37587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4" w:type="dxa"/>
            <w:vAlign w:val="center"/>
          </w:tcPr>
          <w:p w14:paraId="125AA315" w14:textId="77777777" w:rsidR="004F63F2" w:rsidRDefault="004F63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  <w:p w14:paraId="3A2F290E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b/>
                <w:color w:val="910D28"/>
              </w:rPr>
              <w:bidi w:val="0"/>
            </w:pPr>
            <w:r>
              <w:rPr>
                <w:noProof/>
                <w:color w:val="910D28"/>
                <w:lang w:val="es"/>
                <w:b w:val="1"/>
                <w:bCs w:val="1"/>
                <w:i w:val="0"/>
                <w:iCs w:val="0"/>
                <w:u w:val="none"/>
                <w:vertAlign w:val="baseline"/>
                <w:rtl w:val="0"/>
              </w:rPr>
              <w:drawing>
                <wp:inline distT="0" distB="0" distL="0" distR="0" wp14:anchorId="66C8E262" wp14:editId="43A1C3CF">
                  <wp:extent cx="2374900" cy="3758565"/>
                  <wp:effectExtent l="0" t="0" r="0" b="0"/>
                  <wp:docPr id="108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 l="34014" t="23669" r="34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900" cy="3758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68DEAA" w14:textId="77777777" w:rsidR="004F63F2" w:rsidRDefault="004F63F2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14:paraId="1232F7A7" w14:textId="77777777" w:rsidR="004F63F2" w:rsidRDefault="00EE4044">
      <w:pPr>
        <w:spacing w:after="160" w:line="259" w:lineRule="auto"/>
        <w:bidi w:val="0"/>
      </w:pPr>
      <w:r>
        <w:rPr>
          <w:lang w:val="es"/>
          <w:b w:val="0"/>
          <w:bCs w:val="0"/>
          <w:i w:val="0"/>
          <w:iCs w:val="0"/>
          <w:u w:val="none"/>
          <w:vertAlign w:val="baseline"/>
          <w:rtl w:val="0"/>
        </w:rPr>
        <w:br w:type="page"/>
      </w:r>
    </w:p>
    <w:p w14:paraId="4853779E" w14:textId="77777777" w:rsidR="004F63F2" w:rsidRDefault="004F63F2"/>
    <w:tbl>
      <w:tblPr>
        <w:tblStyle w:val="a2"/>
        <w:tblW w:w="12950" w:type="dxa"/>
        <w:tblBorders>
          <w:top w:val="dashed" w:sz="4" w:space="0" w:color="3E5C61"/>
          <w:left w:val="dashed" w:sz="4" w:space="0" w:color="3E5C61"/>
          <w:bottom w:val="dashed" w:sz="4" w:space="0" w:color="3E5C61"/>
          <w:right w:val="dashed" w:sz="4" w:space="0" w:color="3E5C61"/>
          <w:insideH w:val="dashed" w:sz="4" w:space="0" w:color="3E5C61"/>
          <w:insideV w:val="dashed" w:sz="4" w:space="0" w:color="3E5C61"/>
        </w:tblBorders>
        <w:tblLayout w:type="fixed"/>
        <w:tblLook w:val="0400" w:firstRow="0" w:lastRow="0" w:firstColumn="0" w:lastColumn="0" w:noHBand="0" w:noVBand="1"/>
      </w:tblPr>
      <w:tblGrid>
        <w:gridCol w:w="3237"/>
        <w:gridCol w:w="3237"/>
        <w:gridCol w:w="3238"/>
        <w:gridCol w:w="3238"/>
      </w:tblGrid>
      <w:tr w:rsidR="004F63F2" w14:paraId="29A5AF37" w14:textId="77777777">
        <w:trPr>
          <w:trHeight w:val="4320"/>
        </w:trPr>
        <w:tc>
          <w:tcPr>
            <w:tcW w:w="3237" w:type="dxa"/>
            <w:vAlign w:val="center"/>
          </w:tcPr>
          <w:p w14:paraId="4520B9D8" w14:textId="77777777" w:rsidR="004F63F2" w:rsidRDefault="004F63F2">
            <w:pPr>
              <w:jc w:val="center"/>
            </w:pPr>
          </w:p>
          <w:p w14:paraId="13867E52" w14:textId="77777777" w:rsidR="004F63F2" w:rsidRDefault="004F63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  <w:p w14:paraId="29A8C404" w14:textId="77777777" w:rsidR="004F63F2" w:rsidRDefault="00EE4044">
            <w:pPr>
              <w:rPr>
                <w:color w:val="000000"/>
              </w:rPr>
              <w:bidi w:val="0"/>
            </w:pPr>
            <w:r>
              <w:rPr>
                <w:noProof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drawing>
                <wp:inline distT="114300" distB="114300" distL="114300" distR="114300" wp14:anchorId="2FE1BFDB" wp14:editId="0289FE5E">
                  <wp:extent cx="1905000" cy="952500"/>
                  <wp:effectExtent l="0" t="0" r="0" b="0"/>
                  <wp:docPr id="110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7" w:type="dxa"/>
            <w:vAlign w:val="center"/>
          </w:tcPr>
          <w:p w14:paraId="4A749815" w14:textId="77777777" w:rsidR="004F63F2" w:rsidRDefault="004F63F2">
            <w:pPr>
              <w:jc w:val="center"/>
            </w:pPr>
          </w:p>
          <w:p w14:paraId="75FB342B" w14:textId="77777777" w:rsidR="004F63F2" w:rsidRDefault="00EE4044">
            <w:pPr>
              <w:spacing w:before="240" w:after="240"/>
              <w:rPr>
                <w:color w:val="000000"/>
              </w:rPr>
              <w:bidi w:val="0"/>
            </w:pPr>
            <w:r>
              <w:rPr>
                <w:noProof/>
                <w:color w:val="3E5C61"/>
                <w:sz w:val="18"/>
                <w:szCs w:val="18"/>
                <w:lang w:val="es"/>
                <w:b w:val="0"/>
                <w:bCs w:val="0"/>
                <w:i w:val="1"/>
                <w:iCs w:val="1"/>
                <w:u w:val="none"/>
                <w:vertAlign w:val="baseline"/>
                <w:rtl w:val="0"/>
              </w:rPr>
              <w:drawing>
                <wp:inline distT="114300" distB="114300" distL="114300" distR="114300" wp14:anchorId="02F00C68" wp14:editId="4E18A45C">
                  <wp:extent cx="1905000" cy="1104900"/>
                  <wp:effectExtent l="0" t="0" r="0" b="0"/>
                  <wp:docPr id="103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9"/>
                          <a:srcRect t="7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10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10D4DF5" w14:textId="77777777" w:rsidR="004F63F2" w:rsidRDefault="004F63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</w:pPr>
          </w:p>
        </w:tc>
        <w:tc>
          <w:tcPr>
            <w:tcW w:w="3238" w:type="dxa"/>
            <w:vAlign w:val="center"/>
          </w:tcPr>
          <w:p w14:paraId="36747F0E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  <w:bidi w:val="0"/>
            </w:pPr>
            <w:r>
              <w:rPr>
                <w:noProof/>
                <w:color w:val="3E5C61"/>
                <w:sz w:val="18"/>
                <w:szCs w:val="18"/>
                <w:lang w:val="es"/>
                <w:b w:val="0"/>
                <w:bCs w:val="0"/>
                <w:i w:val="1"/>
                <w:iCs w:val="1"/>
                <w:u w:val="none"/>
                <w:vertAlign w:val="baseline"/>
                <w:rtl w:val="0"/>
              </w:rPr>
              <w:drawing>
                <wp:inline distT="114300" distB="114300" distL="114300" distR="114300" wp14:anchorId="22663F33" wp14:editId="47935B4C">
                  <wp:extent cx="1905000" cy="1371600"/>
                  <wp:effectExtent l="0" t="0" r="0" b="0"/>
                  <wp:docPr id="106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37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8" w:type="dxa"/>
            <w:vAlign w:val="center"/>
          </w:tcPr>
          <w:p w14:paraId="2E3B07C4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  <w:bidi w:val="0"/>
            </w:pPr>
            <w:r>
              <w:rPr>
                <w:noProof/>
                <w:color w:val="000000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drawing>
                <wp:inline distT="0" distB="0" distL="0" distR="0" wp14:anchorId="7B224F4B" wp14:editId="6E48E488">
                  <wp:extent cx="1684575" cy="1827000"/>
                  <wp:effectExtent l="0" t="0" r="0" b="0"/>
                  <wp:docPr id="111" name="image7.png" descr="Bioquímica comparada - Evidencias de la evolució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 descr="Comparative Biochemistry - Evidence for Evolution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575" cy="1827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3F2" w14:paraId="1337DF33" w14:textId="77777777">
        <w:trPr>
          <w:trHeight w:val="4320"/>
        </w:trPr>
        <w:tc>
          <w:tcPr>
            <w:tcW w:w="3237" w:type="dxa"/>
            <w:vAlign w:val="center"/>
          </w:tcPr>
          <w:p w14:paraId="543F8F9F" w14:textId="77777777" w:rsidR="004F63F2" w:rsidRDefault="00EE4044">
            <w:pPr>
              <w:jc w:val="center"/>
              <w:rPr>
                <w:color w:val="000000"/>
              </w:rPr>
              <w:bidi w:val="0"/>
            </w:pPr>
            <w:r>
              <w:rPr>
                <w:noProof/>
                <w:color w:val="3E5C61"/>
                <w:sz w:val="18"/>
                <w:szCs w:val="18"/>
                <w:lang w:val="es"/>
                <w:b w:val="0"/>
                <w:bCs w:val="0"/>
                <w:i w:val="1"/>
                <w:iCs w:val="1"/>
                <w:u w:val="none"/>
                <w:vertAlign w:val="baseline"/>
                <w:rtl w:val="0"/>
              </w:rPr>
              <w:drawing>
                <wp:inline distT="114300" distB="114300" distL="114300" distR="114300" wp14:anchorId="7D743202" wp14:editId="6DAF79A0">
                  <wp:extent cx="1729172" cy="1285503"/>
                  <wp:effectExtent l="0" t="0" r="0" b="0"/>
                  <wp:docPr id="114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172" cy="128550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drawing>
                <wp:inline distT="114300" distB="114300" distL="114300" distR="114300" wp14:anchorId="7FD9D58C" wp14:editId="62E267C0">
                  <wp:extent cx="1719263" cy="1146175"/>
                  <wp:effectExtent l="0" t="0" r="0" b="0"/>
                  <wp:docPr id="113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263" cy="1146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7" w:type="dxa"/>
            <w:vAlign w:val="center"/>
          </w:tcPr>
          <w:p w14:paraId="25759AE8" w14:textId="77777777" w:rsidR="004F63F2" w:rsidRDefault="00EE4044">
            <w:pPr>
              <w:ind w:left="720"/>
              <w:rPr>
                <w:color w:val="000000"/>
              </w:rPr>
              <w:bidi w:val="0"/>
            </w:pPr>
            <w:r>
              <w:rPr>
                <w:noProof/>
                <w:color w:val="3E5C61"/>
                <w:sz w:val="18"/>
                <w:szCs w:val="18"/>
                <w:lang w:val="es"/>
                <w:b w:val="0"/>
                <w:bCs w:val="0"/>
                <w:i w:val="1"/>
                <w:iCs w:val="1"/>
                <w:u w:val="none"/>
                <w:vertAlign w:val="baseline"/>
                <w:rtl w:val="0"/>
              </w:rPr>
              <w:drawing>
                <wp:inline distT="114300" distB="114300" distL="114300" distR="114300" wp14:anchorId="22B30F63" wp14:editId="4A620C40">
                  <wp:extent cx="1890713" cy="2273798"/>
                  <wp:effectExtent l="0" t="0" r="0" b="0"/>
                  <wp:docPr id="104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713" cy="22737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8" w:type="dxa"/>
            <w:vAlign w:val="center"/>
          </w:tcPr>
          <w:p w14:paraId="2BC48F73" w14:textId="77777777" w:rsidR="004F63F2" w:rsidRDefault="00EE404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</w:rPr>
              <w:bidi w:val="0"/>
            </w:pPr>
            <w:r>
              <w:rPr>
                <w:noProof/>
                <w:color w:val="000000"/>
                <w:lang w:val="es"/>
                <w:b w:val="0"/>
                <w:bCs w:val="0"/>
                <w:i w:val="0"/>
                <w:iCs w:val="0"/>
                <w:u w:val="none"/>
                <w:vertAlign w:val="baseline"/>
                <w:rtl w:val="0"/>
              </w:rPr>
              <w:drawing>
                <wp:inline distT="0" distB="0" distL="0" distR="0" wp14:anchorId="2E7CD170" wp14:editId="057B7588">
                  <wp:extent cx="1684574" cy="1930025"/>
                  <wp:effectExtent l="0" t="0" r="0" b="0"/>
                  <wp:docPr id="112" name="image6.jpg" descr="Hoja informativa sobre la secuenciación del AD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 descr="DNA Sequencing Fact Sheet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574" cy="19300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14:paraId="2EBFE819" w14:textId="77777777" w:rsidR="004F63F2" w:rsidRDefault="004F63F2"/>
        </w:tc>
      </w:tr>
    </w:tbl>
    <w:p w14:paraId="617A7261" w14:textId="77777777" w:rsidR="004F63F2" w:rsidRDefault="00EE4044">
      <w:pPr>
        <w:pStyle w:val="Heading1"/>
        <w:bidi w:val="0"/>
      </w:pPr>
      <w:r>
        <w:rPr>
          <w:lang w:val="es"/>
          <w:b w:val="1"/>
          <w:bCs w:val="1"/>
          <w:i w:val="0"/>
          <w:iCs w:val="0"/>
          <w:u w:val="none"/>
          <w:vertAlign w:val="baseline"/>
          <w:rtl w:val="0"/>
        </w:rPr>
        <w:t xml:space="preserve">Fuentes</w:t>
      </w:r>
    </w:p>
    <w:p w14:paraId="3182DEB0" w14:textId="77777777" w:rsidR="004F63F2" w:rsidRDefault="00EE4044">
      <w:pPr>
        <w:pStyle w:val="Heading2"/>
        <w:bidi w:val="0"/>
      </w:pPr>
      <w:r>
        <w:rPr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Estructura análoga </w:t>
      </w:r>
    </w:p>
    <w:p w14:paraId="04A5CB8D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  <w:bidi w:val="0"/>
      </w:pP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Analogous and Homologous Traits. (s.f.).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Extraído el 14 de enero de 2021 de </w:t>
      </w:r>
      <w:hyperlink r:id="rId16">
        <w:r>
          <w:rPr>
            <w:color w:val="1155CC"/>
            <w:sz w:val="18"/>
            <w:szCs w:val="18"/>
            <w:lang w:val="es"/>
            <w:b w:val="0"/>
            <w:bCs w:val="0"/>
            <w:i w:val="1"/>
            <w:iCs w:val="1"/>
            <w:u w:val="single"/>
            <w:vertAlign w:val="baseline"/>
            <w:rtl w:val="0"/>
          </w:rPr>
          <w:t xml:space="preserve">http://group4cladistics.weebly.com/analogous-and-homologous-traits.html</w:t>
        </w:r>
      </w:hyperlink>
    </w:p>
    <w:p w14:paraId="677E89E1" w14:textId="77777777" w:rsidR="004F63F2" w:rsidRDefault="00EE4044">
      <w:pPr>
        <w:spacing w:before="240" w:after="240"/>
        <w:ind w:left="720" w:hanging="720"/>
        <w:rPr>
          <w:i/>
          <w:color w:val="3E5C61"/>
          <w:sz w:val="18"/>
          <w:szCs w:val="18"/>
        </w:rPr>
        <w:bidi w:val="0"/>
      </w:pP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Bil 106 - lecture 4. (s.f.).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University of Miami-College of Arts &amp; Science-Biology, extraído el 14 de abril de 2021 de http://www.bio.miami.edu/dana/106/106F05_4.html</w:t>
      </w:r>
    </w:p>
    <w:p w14:paraId="7C7C7CA3" w14:textId="77777777" w:rsidR="004F63F2" w:rsidRDefault="00EE4044">
      <w:pPr>
        <w:pStyle w:val="Heading2"/>
        <w:bidi w:val="0"/>
      </w:pPr>
      <w:r>
        <w:rPr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Bioquímica </w:t>
      </w:r>
    </w:p>
    <w:p w14:paraId="4EC67BBD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  <w:bidi w:val="0"/>
      </w:pP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Comparative Biochemistry. (s.f.).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Extraído el 14 de enero de 2021 de http://eewevolution.weebly.com/comparative-biochemistry.html</w:t>
      </w:r>
    </w:p>
    <w:p w14:paraId="2F85EBAF" w14:textId="77777777" w:rsidR="004F63F2" w:rsidRDefault="00EE4044">
      <w:pPr>
        <w:pStyle w:val="Heading2"/>
        <w:bidi w:val="0"/>
      </w:pPr>
      <w:r>
        <w:rPr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Selección direccional, disruptiva y estabilizadora</w:t>
      </w:r>
    </w:p>
    <w:p w14:paraId="3FAF733D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  <w:bidi w:val="0"/>
      </w:pP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What is the effect of directional selection on genetic variation?: Socratic.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(28 de marzo de 2017).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Extraído el 14 de enero de 2021 de https://socratic.org/questions/what-is-the-effect-of-directional-selection-on-genetic-variation-1</w:t>
      </w:r>
    </w:p>
    <w:p w14:paraId="48E4BCC2" w14:textId="77777777" w:rsidR="004F63F2" w:rsidRDefault="00EE4044">
      <w:pPr>
        <w:pStyle w:val="Heading2"/>
        <w:bidi w:val="0"/>
      </w:pPr>
      <w:r>
        <w:rPr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Tecnología del ADN</w:t>
      </w:r>
    </w:p>
    <w:p w14:paraId="0A2A30E7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  <w:bidi w:val="0"/>
      </w:pP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DNA Sequencing Fact Sheet. (s.f.).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Extraído el 14 enero de 2021 de https://www.genome.gov/about-genomics/fact-sheets/DNA-Sequencing-Fact-Sheet</w:t>
      </w:r>
    </w:p>
    <w:p w14:paraId="0FA2B9E7" w14:textId="77777777" w:rsidR="004F63F2" w:rsidRDefault="00EE4044">
      <w:pPr>
        <w:pStyle w:val="Heading2"/>
        <w:bidi w:val="0"/>
      </w:pPr>
      <w:r>
        <w:rPr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Embriología </w:t>
      </w:r>
    </w:p>
    <w:p w14:paraId="70C29E4B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  <w:bidi w:val="0"/>
      </w:pP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Sharma, Y., &amp; Scarbrough, H.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(08 de enero de 2020).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Evolutionary Embryology: Developmental Biology.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Extraído el 14 de enero de 2021 de https://microbenotes.com/evolutionary-embryology/</w:t>
      </w:r>
    </w:p>
    <w:p w14:paraId="753F991B" w14:textId="77777777" w:rsidR="004F63F2" w:rsidRDefault="00EE4044">
      <w:pPr>
        <w:pStyle w:val="Heading2"/>
        <w:bidi w:val="0"/>
      </w:pPr>
      <w:r>
        <w:rPr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Fósiles </w:t>
      </w:r>
    </w:p>
    <w:p w14:paraId="23E19660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  <w:bidi w:val="0"/>
      </w:pP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Callaway, E.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(18 de enero de 2020).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Supercomputer Scours Fossil Record for Earth's Hidden Extinctions.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Extraído el 14 de enero de 2021 de https://www.scientificamerican.com/article/supercomputer-scours-fossil-record-for-earths-hidden-extinctions/</w:t>
      </w:r>
    </w:p>
    <w:p w14:paraId="20529434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  <w:bidi w:val="0"/>
      </w:pP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Black, R.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(23 de enero de 2009).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If You Found a Fossil on the Ground, What Would You Do?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Extraído el 14 de enero de 2021 de https://www.smithsonianmag.com/science-nature/if-you-found-a-fossil-on-the-ground-what-would-you-do-37694178/</w:t>
      </w:r>
    </w:p>
    <w:p w14:paraId="1B0C52A1" w14:textId="77777777" w:rsidR="004F63F2" w:rsidRDefault="00EE4044">
      <w:pPr>
        <w:pStyle w:val="Heading2"/>
        <w:bidi w:val="0"/>
      </w:pPr>
      <w:r>
        <w:rPr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Estructuras homólogas</w:t>
      </w:r>
    </w:p>
    <w:p w14:paraId="42CAA5C2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  <w:bidi w:val="0"/>
      </w:pP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Homologous structures.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(15 de noviembre de 2019).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Extraído el 14 de enero de 2021 de https://kaiserscience.wordpress.com/biology-the-living-environment/evolution/homologous-structures/</w:t>
      </w:r>
    </w:p>
    <w:p w14:paraId="7345D0F3" w14:textId="77777777" w:rsidR="004F63F2" w:rsidRDefault="00EE4044">
      <w:pPr>
        <w:pStyle w:val="Heading2"/>
        <w:bidi w:val="0"/>
      </w:pPr>
      <w:r>
        <w:rPr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Estructura vestigial</w:t>
      </w:r>
    </w:p>
    <w:p w14:paraId="586DF36F" w14:textId="77777777" w:rsidR="004F63F2" w:rsidRDefault="00EE404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  <w:bidi w:val="0"/>
      </w:pP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Vestigial Structures - Evolution. (s.f.). </w:t>
      </w:r>
      <w:r>
        <w:rPr>
          <w:color w:val="3E5C61"/>
          <w:sz w:val="18"/>
          <w:szCs w:val="18"/>
          <w:lang w:val="es"/>
          <w:b w:val="0"/>
          <w:bCs w:val="0"/>
          <w:i w:val="1"/>
          <w:iCs w:val="1"/>
          <w:u w:val="none"/>
          <w:vertAlign w:val="baseline"/>
          <w:rtl w:val="0"/>
        </w:rPr>
        <w:t xml:space="preserve">Extraído el 14 de enero de 2021 de </w:t>
      </w:r>
      <w:hyperlink r:id="rId17">
        <w:r>
          <w:rPr>
            <w:color w:val="1155CC"/>
            <w:sz w:val="18"/>
            <w:szCs w:val="18"/>
            <w:lang w:val="es"/>
            <w:b w:val="0"/>
            <w:bCs w:val="0"/>
            <w:i w:val="1"/>
            <w:iCs w:val="1"/>
            <w:u w:val="single"/>
            <w:vertAlign w:val="baseline"/>
            <w:rtl w:val="0"/>
          </w:rPr>
          <w:t xml:space="preserve">https://sites.google.com/site/brandtevolution/home/mutatio</w:t>
        </w:r>
      </w:hyperlink>
    </w:p>
    <w:p w14:paraId="0D20DE97" w14:textId="77777777" w:rsidR="004F63F2" w:rsidRDefault="004F63F2"/>
    <w:sectPr w:rsidR="004F63F2">
      <w:footerReference w:type="default" r:id="rId18"/>
      <w:pgSz w:w="15840" w:h="12240" w:orient="landscape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E8D093" w14:textId="77777777" w:rsidR="00EE4044" w:rsidRDefault="00EE4044">
      <w:pPr>
        <w:spacing w:after="0" w:line="240" w:lineRule="auto"/>
      </w:pPr>
      <w:r>
        <w:separator/>
      </w:r>
    </w:p>
  </w:endnote>
  <w:endnote w:type="continuationSeparator" w:id="0">
    <w:p w14:paraId="6318CDFB" w14:textId="77777777" w:rsidR="00EE4044" w:rsidRDefault="00EE40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F6C8CE" w14:textId="77777777" w:rsidR="004F63F2" w:rsidRDefault="00EE4044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  <w:bidi w:val="0"/>
    </w:pPr>
    <w:r>
      <w:rPr>
        <w:noProof/>
        <w:lang w:val="es"/>
        <w:b w:val="0"/>
        <w:bCs w:val="0"/>
        <w:i w:val="0"/>
        <w:iCs w:val="0"/>
        <w:u w:val="none"/>
        <w:vertAlign w:val="baseline"/>
        <w:rtl w:val="0"/>
      </w:rPr>
      <w:drawing>
        <wp:anchor distT="0" distB="0" distL="0" distR="0" simplePos="0" relativeHeight="251658240" behindDoc="0" locked="0" layoutInCell="1" hidden="0" allowOverlap="1" wp14:anchorId="24C3E3A6" wp14:editId="0A011DA1">
          <wp:simplePos x="0" y="0"/>
          <wp:positionH relativeFrom="column">
            <wp:posOffset>3590925</wp:posOffset>
          </wp:positionH>
          <wp:positionV relativeFrom="paragraph">
            <wp:posOffset>-212724</wp:posOffset>
          </wp:positionV>
          <wp:extent cx="4572000" cy="316865"/>
          <wp:effectExtent l="0" t="0" r="0" b="0"/>
          <wp:wrapSquare wrapText="bothSides" distT="0" distB="0" distL="0" distR="0"/>
          <wp:docPr id="105" name="image9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9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572000" cy="31686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lang w:val="es"/>
        <w:b w:val="0"/>
        <w:bCs w:val="0"/>
        <w:i w:val="0"/>
        <w:iCs w:val="0"/>
        <w:u w:val="none"/>
        <w:vertAlign w:val="baseline"/>
        <w:rtl w:val="0"/>
      </w:rPr>
      <mc:AlternateContent>
        <mc:Choice Requires="wps">
          <w:drawing>
            <wp:anchor distT="0" distB="0" distL="114300" distR="114300" simplePos="0" relativeHeight="251659264" behindDoc="0" locked="0" layoutInCell="1" hidden="0" allowOverlap="1" wp14:anchorId="67DA5BCD" wp14:editId="3F00B368">
              <wp:simplePos x="0" y="0"/>
              <wp:positionH relativeFrom="column">
                <wp:posOffset>3695700</wp:posOffset>
              </wp:positionH>
              <wp:positionV relativeFrom="paragraph">
                <wp:posOffset>-253999</wp:posOffset>
              </wp:positionV>
              <wp:extent cx="4010025" cy="295275"/>
              <wp:effectExtent l="0" t="0" r="0" b="0"/>
              <wp:wrapNone/>
              <wp:docPr id="102" name="Rectangle 10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345750" y="3637125"/>
                        <a:ext cx="4000500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8EF7C8B" w14:textId="5F5C3AAF" w:rsidR="004F63F2" w:rsidRPr="00436414" w:rsidRDefault="00436414">
                          <w:pPr>
                            <w:spacing w:after="0" w:line="240" w:lineRule="auto"/>
                            <w:jc w:val="right"/>
                            <w:textDirection w:val="btLr"/>
                            <w:rPr>
                              <w:rFonts w:asciiTheme="majorHAnsi" w:hAnsiTheme="majorHAnsi" w:cstheme="majorHAnsi"/>
                            </w:rPr>
                            <w:bidi w:val="0"/>
                          </w:pPr>
                          <w:r>
                            <w:rPr>
                              <w:rFonts w:asciiTheme="majorHAnsi" w:cstheme="majorHAnsi" w:eastAsia="Arial" w:hAnsiTheme="majorHAnsi"/>
                              <w:smallCaps/>
                              <w:color w:val="2D2D2D"/>
                              <w:lang w:val="es"/>
                              <w:b w:val="1"/>
                              <w:bCs w:val="1"/>
                              <w:i w:val="0"/>
                              <w:iCs w:val="0"/>
                              <w:u w:val="none"/>
                              <w:vertAlign w:val="baseline"/>
                              <w:rtl w:val="0"/>
                            </w:rPr>
                            <w:t xml:space="preserve">SHE SELLS SEASHELLS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7DA5BCD" id="Rectangle 102" o:spid="_x0000_s1026" style="position:absolute;margin-left:291pt;margin-top:-20pt;width:315.75pt;height:23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" filled="f" stroked="f">
              <v:textbox inset="2.53958mm,1.2694mm,2.53958mm,1.2694mm">
                <w:txbxContent>
                  <w:p w14:paraId="18EF7C8B" w14:textId="5F5C3AAF" w:rsidR="004F63F2" w:rsidRPr="00436414" w:rsidRDefault="00436414">
                    <w:pPr>
                      <w:spacing w:after="0" w:line="240" w:lineRule="auto"/>
                      <w:jc w:val="right"/>
                      <w:textDirection w:val="btLr"/>
                      <w:rPr>
                        <w:rFonts w:asciiTheme="majorHAnsi" w:hAnsiTheme="majorHAnsi" w:cstheme="majorHAnsi"/>
                      </w:rPr>
                      <w:bidi w:val="0"/>
                    </w:pPr>
                    <w:r>
                      <w:rPr>
                        <w:rFonts w:asciiTheme="majorHAnsi" w:cstheme="majorHAnsi" w:eastAsia="Arial" w:hAnsiTheme="majorHAnsi"/>
                        <w:smallCaps/>
                        <w:color w:val="2D2D2D"/>
                        <w:lang w:val="es"/>
                        <w:b w:val="1"/>
                        <w:bCs w:val="1"/>
                        <w:i w:val="0"/>
                        <w:iCs w:val="0"/>
                        <w:u w:val="none"/>
                        <w:vertAlign w:val="baseline"/>
                        <w:rtl w:val="0"/>
                      </w:rPr>
                      <w:t xml:space="preserve">SHE SELLS SEASHELLS</w:t>
                    </w:r>
                  </w:p>
                </w:txbxContent>
              </v:textbox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3EA61F" w14:textId="77777777" w:rsidR="00EE4044" w:rsidRDefault="00EE4044">
      <w:pPr>
        <w:spacing w:after="0" w:line="240" w:lineRule="auto"/>
      </w:pPr>
      <w:r>
        <w:separator/>
      </w:r>
    </w:p>
  </w:footnote>
  <w:footnote w:type="continuationSeparator" w:id="0">
    <w:p w14:paraId="018EAC72" w14:textId="77777777" w:rsidR="00EE4044" w:rsidRDefault="00EE404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63F2"/>
    <w:rsid w:val="00063A5F"/>
    <w:rsid w:val="00436414"/>
    <w:rsid w:val="004F63F2"/>
    <w:rsid w:val="00EE40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B9095A8"/>
  <w15:docId w15:val="{0793FCE0-7222-47A7-BD96-9D0D696B97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4"/>
        <w:szCs w:val="24"/>
        <w:lang w:val="en-US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next w:val="BodyText"/>
    <w:qFormat/>
    <w:rsid w:val="00AC349E"/>
  </w:style>
  <w:style w:type="paragraph" w:styleId="Heading1">
    <w:name w:val="heading 1"/>
    <w:basedOn w:val="Normal"/>
    <w:next w:val="Normal"/>
    <w:link w:val="Heading1Char"/>
    <w:uiPriority w:val="9"/>
    <w:qFormat/>
    <w:rsid w:val="00D106FF"/>
    <w:pPr>
      <w:keepNext/>
      <w:keepLines/>
      <w:spacing w:before="200"/>
      <w:outlineLvl w:val="0"/>
    </w:pPr>
    <w:rPr>
      <w:rFonts w:asciiTheme="majorHAnsi" w:eastAsiaTheme="majorEastAsia" w:hAnsiTheme="majorHAnsi" w:cstheme="majorBidi"/>
      <w:b/>
      <w:color w:val="910D28" w:themeColor="accent1"/>
      <w:szCs w:val="32"/>
      <w:shd w:val="clear" w:color="auto" w:fill="FFFFFF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E154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i/>
      <w:color w:val="910D28" w:themeColor="accent1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21EA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i/>
      <w:color w:val="3E5C61" w:themeColor="text2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6C091D" w:themeColor="accent1" w:themeShade="B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6C091D" w:themeColor="accent1" w:themeShade="BF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48061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1872E7"/>
    <w:pPr>
      <w:spacing w:after="240" w:line="240" w:lineRule="auto"/>
      <w:outlineLvl w:val="0"/>
    </w:pPr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93785"/>
  </w:style>
  <w:style w:type="paragraph" w:styleId="Footer">
    <w:name w:val="footer"/>
    <w:basedOn w:val="Normal"/>
    <w:link w:val="Foot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93785"/>
  </w:style>
  <w:style w:type="paragraph" w:customStyle="1" w:styleId="Citation">
    <w:name w:val="Citation"/>
    <w:basedOn w:val="Normal"/>
    <w:next w:val="FootnoteText"/>
    <w:qFormat/>
    <w:rsid w:val="00AC349E"/>
    <w:pPr>
      <w:ind w:left="720" w:hanging="720"/>
    </w:pPr>
    <w:rPr>
      <w:i/>
      <w:color w:val="3E5C61"/>
      <w:sz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C349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C349E"/>
    <w:rPr>
      <w:sz w:val="20"/>
      <w:szCs w:val="20"/>
    </w:rPr>
  </w:style>
  <w:style w:type="paragraph" w:customStyle="1" w:styleId="LessonFooter">
    <w:name w:val="Lesson Footer"/>
    <w:basedOn w:val="Footer"/>
    <w:next w:val="Footer"/>
    <w:link w:val="LessonFooterChar"/>
    <w:autoRedefine/>
    <w:qFormat/>
    <w:rsid w:val="00AC349E"/>
    <w:pPr>
      <w:jc w:val="right"/>
    </w:pPr>
    <w:rPr>
      <w:b/>
      <w:caps/>
      <w:color w:val="2D2D2D"/>
    </w:rPr>
  </w:style>
  <w:style w:type="character" w:customStyle="1" w:styleId="LessonFooterChar">
    <w:name w:val="Lesson Footer Char"/>
    <w:basedOn w:val="TitleChar"/>
    <w:link w:val="LessonFooter"/>
    <w:rsid w:val="00AC349E"/>
    <w:rPr>
      <w:rFonts w:asciiTheme="majorHAnsi" w:eastAsiaTheme="majorEastAsia" w:hAnsiTheme="majorHAnsi" w:cstheme="majorBidi"/>
      <w:b/>
      <w:caps/>
      <w:color w:val="2D2D2D"/>
      <w:spacing w:val="-10"/>
      <w:kern w:val="28"/>
      <w:sz w:val="24"/>
      <w:szCs w:val="56"/>
    </w:rPr>
  </w:style>
  <w:style w:type="paragraph" w:customStyle="1" w:styleId="CaptionCutline">
    <w:name w:val="Caption/Cutline"/>
    <w:basedOn w:val="CommentText"/>
    <w:link w:val="CaptionCutlineChar"/>
    <w:qFormat/>
    <w:rsid w:val="006E1542"/>
    <w:pPr>
      <w:spacing w:after="0"/>
    </w:pPr>
    <w:rPr>
      <w:i/>
      <w:color w:val="626262"/>
      <w:sz w:val="18"/>
    </w:rPr>
  </w:style>
  <w:style w:type="character" w:customStyle="1" w:styleId="CaptionCutlineChar">
    <w:name w:val="Caption/Cutline Char"/>
    <w:basedOn w:val="CommentTextChar"/>
    <w:link w:val="CaptionCutline"/>
    <w:rsid w:val="006E1542"/>
    <w:rPr>
      <w:i/>
      <w:color w:val="626262"/>
      <w:sz w:val="18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C349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C349E"/>
    <w:rPr>
      <w:sz w:val="20"/>
      <w:szCs w:val="20"/>
    </w:rPr>
  </w:style>
  <w:style w:type="paragraph" w:customStyle="1" w:styleId="OtherHeadings">
    <w:name w:val="Other Headings"/>
    <w:basedOn w:val="Heading3"/>
    <w:next w:val="Heading3"/>
    <w:rsid w:val="005078B4"/>
    <w:pPr>
      <w:spacing w:before="200"/>
    </w:pPr>
    <w:rPr>
      <w:color w:val="3E5C61"/>
    </w:rPr>
  </w:style>
  <w:style w:type="paragraph" w:styleId="BodyText">
    <w:name w:val="Body Text"/>
    <w:basedOn w:val="Normal"/>
    <w:link w:val="BodyTextChar"/>
    <w:uiPriority w:val="99"/>
    <w:unhideWhenUsed/>
    <w:rsid w:val="00AC349E"/>
  </w:style>
  <w:style w:type="character" w:customStyle="1" w:styleId="BodyTextChar">
    <w:name w:val="Body Text Char"/>
    <w:basedOn w:val="DefaultParagraphFont"/>
    <w:link w:val="BodyText"/>
    <w:uiPriority w:val="99"/>
    <w:rsid w:val="00AC349E"/>
    <w:rPr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D106FF"/>
    <w:rPr>
      <w:rFonts w:asciiTheme="majorHAnsi" w:eastAsiaTheme="majorEastAsia" w:hAnsiTheme="majorHAnsi" w:cstheme="majorBidi"/>
      <w:b/>
      <w:color w:val="910D28" w:themeColor="accent1"/>
      <w:sz w:val="2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E1542"/>
    <w:rPr>
      <w:rFonts w:asciiTheme="majorHAnsi" w:eastAsiaTheme="majorEastAsia" w:hAnsiTheme="majorHAnsi" w:cstheme="majorBidi"/>
      <w:i/>
      <w:color w:val="910D28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21EA4"/>
    <w:rPr>
      <w:rFonts w:asciiTheme="majorHAnsi" w:eastAsiaTheme="majorEastAsia" w:hAnsiTheme="majorHAnsi" w:cstheme="majorBidi"/>
      <w:i/>
      <w:color w:val="3E5C61" w:themeColor="text2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0"/>
    <w:rsid w:val="001872E7"/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Quote">
    <w:name w:val="Quote"/>
    <w:aliases w:val="Block Quote"/>
    <w:basedOn w:val="Normal"/>
    <w:next w:val="Normal"/>
    <w:link w:val="QuoteChar"/>
    <w:uiPriority w:val="29"/>
    <w:qFormat/>
    <w:rsid w:val="00AC349E"/>
    <w:pPr>
      <w:spacing w:before="120"/>
      <w:ind w:left="1152" w:right="1152"/>
      <w:jc w:val="both"/>
    </w:pPr>
    <w:rPr>
      <w:i/>
      <w:iCs/>
      <w:color w:val="626262"/>
    </w:rPr>
  </w:style>
  <w:style w:type="character" w:customStyle="1" w:styleId="QuoteChar">
    <w:name w:val="Quote Char"/>
    <w:aliases w:val="Block Quote Char"/>
    <w:basedOn w:val="DefaultParagraphFont"/>
    <w:link w:val="Quote"/>
    <w:uiPriority w:val="29"/>
    <w:rsid w:val="00AC349E"/>
    <w:rPr>
      <w:i/>
      <w:iCs/>
      <w:color w:val="626262"/>
      <w:sz w:val="24"/>
    </w:rPr>
  </w:style>
  <w:style w:type="paragraph" w:styleId="NormalWeb">
    <w:name w:val="Normal (Web)"/>
    <w:basedOn w:val="Normal"/>
    <w:uiPriority w:val="99"/>
    <w:semiHidden/>
    <w:unhideWhenUsed/>
    <w:rsid w:val="00AC34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</w:rPr>
  </w:style>
  <w:style w:type="table" w:styleId="TableGrid">
    <w:name w:val="Table Grid"/>
    <w:basedOn w:val="TableNormal"/>
    <w:uiPriority w:val="39"/>
    <w:rsid w:val="00AC34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lumnHeaders">
    <w:name w:val="Table Column Headers"/>
    <w:basedOn w:val="Normal"/>
    <w:link w:val="TableColumnHeadersChar"/>
    <w:autoRedefine/>
    <w:qFormat/>
    <w:rsid w:val="007D4DF2"/>
    <w:pPr>
      <w:spacing w:after="0" w:line="240" w:lineRule="auto"/>
      <w:jc w:val="center"/>
    </w:pPr>
    <w:rPr>
      <w:rFonts w:asciiTheme="majorHAnsi" w:hAnsiTheme="majorHAnsi"/>
      <w:b/>
      <w:color w:val="FFFFFF" w:themeColor="background1"/>
    </w:rPr>
  </w:style>
  <w:style w:type="paragraph" w:customStyle="1" w:styleId="Style1">
    <w:name w:val="Style1"/>
    <w:basedOn w:val="TableColumnHeaders"/>
    <w:next w:val="Header"/>
    <w:autoRedefine/>
    <w:rsid w:val="00AC349E"/>
  </w:style>
  <w:style w:type="character" w:customStyle="1" w:styleId="TableColumnHeadersChar">
    <w:name w:val="Table Column Headers Char"/>
    <w:basedOn w:val="DefaultParagraphFont"/>
    <w:link w:val="TableColumnHeaders"/>
    <w:rsid w:val="007D4DF2"/>
    <w:rPr>
      <w:rFonts w:asciiTheme="majorHAnsi" w:hAnsiTheme="majorHAnsi"/>
      <w:b/>
      <w:color w:val="FFFFFF" w:themeColor="background1"/>
      <w:sz w:val="24"/>
    </w:rPr>
  </w:style>
  <w:style w:type="paragraph" w:styleId="NoSpacing">
    <w:name w:val="No Spacing"/>
    <w:link w:val="NoSpacingChar"/>
    <w:uiPriority w:val="1"/>
    <w:rsid w:val="0053328A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53328A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666C03"/>
    <w:rPr>
      <w:color w:val="910D2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66C03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rsid w:val="00880013"/>
    <w:pPr>
      <w:ind w:left="720"/>
      <w:contextualSpacing/>
    </w:pPr>
  </w:style>
  <w:style w:type="paragraph" w:customStyle="1" w:styleId="Image">
    <w:name w:val="Image"/>
    <w:basedOn w:val="Normal"/>
    <w:next w:val="CaptionCutline"/>
    <w:link w:val="ImageChar"/>
    <w:autoRedefine/>
    <w:qFormat/>
    <w:rsid w:val="006E1542"/>
    <w:pPr>
      <w:keepNext/>
      <w:spacing w:after="0" w:line="240" w:lineRule="auto"/>
    </w:pPr>
    <w:rPr>
      <w:noProof/>
      <w:shd w:val="clear" w:color="auto" w:fill="FFFFFF"/>
    </w:rPr>
  </w:style>
  <w:style w:type="character" w:styleId="PlaceholderText">
    <w:name w:val="Placeholder Text"/>
    <w:basedOn w:val="DefaultParagraphFont"/>
    <w:uiPriority w:val="99"/>
    <w:semiHidden/>
    <w:rsid w:val="00D106FF"/>
    <w:rPr>
      <w:color w:val="808080"/>
    </w:rPr>
  </w:style>
  <w:style w:type="character" w:customStyle="1" w:styleId="ImageChar">
    <w:name w:val="Image Char"/>
    <w:basedOn w:val="DefaultParagraphFont"/>
    <w:link w:val="Image"/>
    <w:rsid w:val="006E1542"/>
    <w:rPr>
      <w:noProof/>
      <w:sz w:val="24"/>
    </w:rPr>
  </w:style>
  <w:style w:type="paragraph" w:customStyle="1" w:styleId="RowHeader">
    <w:name w:val="Row Header"/>
    <w:basedOn w:val="Normal"/>
    <w:qFormat/>
    <w:rsid w:val="007D4DF2"/>
    <w:pPr>
      <w:spacing w:after="0" w:line="240" w:lineRule="auto"/>
    </w:pPr>
    <w:rPr>
      <w:b/>
      <w:color w:val="910D28" w:themeColor="accent1"/>
    </w:rPr>
  </w:style>
  <w:style w:type="paragraph" w:customStyle="1" w:styleId="TableBody">
    <w:name w:val="Table Body"/>
    <w:basedOn w:val="Normal"/>
    <w:qFormat/>
    <w:rsid w:val="007D4DF2"/>
    <w:pPr>
      <w:spacing w:after="0" w:line="240" w:lineRule="auto"/>
    </w:pPr>
  </w:style>
  <w:style w:type="table" w:customStyle="1" w:styleId="a0">
    <w:basedOn w:val="TableNormal"/>
    <w:tblPr>
      <w:tblStyleRowBandSize w:val="1"/>
      <w:tblStyleColBandSize w:val="1"/>
      <w:tblCellMar>
        <w:top w:w="15" w:type="dxa"/>
        <w:left w:w="15" w:type="dxa"/>
        <w:right w:w="15" w:type="dxa"/>
      </w:tblCellMar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 /><Relationship Id="rId13" Type="http://schemas.openxmlformats.org/officeDocument/2006/relationships/image" Target="media/image7.png" /><Relationship Id="rId18" Type="http://schemas.openxmlformats.org/officeDocument/2006/relationships/footer" Target="footer1.xml" /><Relationship Id="rId3" Type="http://schemas.openxmlformats.org/officeDocument/2006/relationships/settings" Target="settings.xml" /><Relationship Id="rId7" Type="http://schemas.openxmlformats.org/officeDocument/2006/relationships/image" Target="media/image1.png" /><Relationship Id="rId12" Type="http://schemas.openxmlformats.org/officeDocument/2006/relationships/image" Target="media/image6.png" /><Relationship Id="rId17" Type="http://schemas.openxmlformats.org/officeDocument/2006/relationships/hyperlink" TargetMode="External" Target="https://sites.google.com/site/brandtevolution/home/mutatio" /><Relationship Id="rId2" Type="http://schemas.openxmlformats.org/officeDocument/2006/relationships/styles" Target="styles.xml" /><Relationship Id="rId16" Type="http://schemas.openxmlformats.org/officeDocument/2006/relationships/hyperlink" TargetMode="External" Target="http://group4cladistics.weebly.com/analogous-and-homologous-traits.html" /><Relationship Id="rId20" Type="http://schemas.openxmlformats.org/officeDocument/2006/relationships/theme" Target="theme/theme1.xml" /><Relationship Id="rId1" Type="http://schemas.openxmlformats.org/officeDocument/2006/relationships/customXml" Target="../customXml/item1.xml" /><Relationship Id="rId6" Type="http://schemas.openxmlformats.org/officeDocument/2006/relationships/endnotes" Target="endnotes.xml" /><Relationship Id="rId11" Type="http://schemas.openxmlformats.org/officeDocument/2006/relationships/image" Target="media/image5.png" /><Relationship Id="rId5" Type="http://schemas.openxmlformats.org/officeDocument/2006/relationships/footnotes" Target="footnotes.xml" /><Relationship Id="rId15" Type="http://schemas.openxmlformats.org/officeDocument/2006/relationships/image" Target="media/image9.jpg" /><Relationship Id="rId10" Type="http://schemas.openxmlformats.org/officeDocument/2006/relationships/image" Target="media/image4.png" /><Relationship Id="rId19" Type="http://schemas.openxmlformats.org/officeDocument/2006/relationships/fontTable" Target="fontTable.xml" /><Relationship Id="rId4" Type="http://schemas.openxmlformats.org/officeDocument/2006/relationships/webSettings" Target="webSettings.xml" /><Relationship Id="rId9" Type="http://schemas.openxmlformats.org/officeDocument/2006/relationships/image" Target="media/image3.png" /><Relationship Id="rId14" Type="http://schemas.openxmlformats.org/officeDocument/2006/relationships/image" Target="media/image8.png" 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 /></Relationships>
</file>

<file path=word/theme/theme1.xml><?xml version="1.0" encoding="utf-8"?>
<a:theme xmlns:a="http://schemas.openxmlformats.org/drawingml/2006/main" name="LEARN16">
  <a:themeElements>
    <a:clrScheme name="LEARN">
      <a:dk1>
        <a:srgbClr val="3E5C61"/>
      </a:dk1>
      <a:lt1>
        <a:sysClr val="window" lastClr="FFFFFF"/>
      </a:lt1>
      <a:dk2>
        <a:srgbClr val="3E5C61"/>
      </a:dk2>
      <a:lt2>
        <a:srgbClr val="FFFFFF"/>
      </a:lt2>
      <a:accent1>
        <a:srgbClr val="910D28"/>
      </a:accent1>
      <a:accent2>
        <a:srgbClr val="3E5C61"/>
      </a:accent2>
      <a:accent3>
        <a:srgbClr val="BED7D3"/>
      </a:accent3>
      <a:accent4>
        <a:srgbClr val="626262"/>
      </a:accent4>
      <a:accent5>
        <a:srgbClr val="910D28"/>
      </a:accent5>
      <a:accent6>
        <a:srgbClr val="3E5C61"/>
      </a:accent6>
      <a:hlink>
        <a:srgbClr val="910D28"/>
      </a:hlink>
      <a:folHlink>
        <a:srgbClr val="A26670"/>
      </a:folHlink>
    </a:clrScheme>
    <a:fontScheme name="LEARN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roundtripDataSignature="AMtx7mi07RMiw1YWsIQLwbvtyAejy9DOjw==">AMUW2mXbYXRi4Vu9bTndpt+DMRM67Eomm+ITb+61B4KJcSkN6g/NZRarfEm4aBBsd1BC6msrwGVvZvmRnNH2i86O+vsMUPu8H7oABKblX7dAL9PuKkyRB74=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4</Pages>
  <Words>477</Words>
  <Characters>2724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She Sells Seashells</dc:title>
  <dc:creator>K20 Center</dc:creator>
  <cp:lastModifiedBy>Taylor Thurston</cp:lastModifiedBy>
  <cp:revision>3</cp:revision>
  <dcterms:created xsi:type="dcterms:W3CDTF">2021-04-11T02:00:00Z</dcterms:created>
  <dcterms:modified xsi:type="dcterms:W3CDTF">2021-05-06T19:30:00Z</dcterms:modified>
</cp:coreProperties>
</file>