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901EDB" w14:textId="6D4E5360" w:rsidR="007C4F63" w:rsidRPr="006F356F" w:rsidRDefault="004E34D1">
      <w:pPr>
        <w:pStyle w:val="Title"/>
        <w:rPr>
          <w:lang w:val="es-CO"/>
        </w:rPr>
      </w:pPr>
      <w:r w:rsidRPr="006F356F">
        <w:rPr>
          <w:bCs/>
          <w:lang w:val="es-CO"/>
        </w:rPr>
        <w:t>FACTORES AMBIENTALES DE LAS PARTÍCULAS</w:t>
      </w:r>
    </w:p>
    <w:p w14:paraId="1AFEB0A8" w14:textId="3F2EBE0D" w:rsidR="004E34D1" w:rsidRPr="006F356F" w:rsidRDefault="004E34D1" w:rsidP="004E34D1">
      <w:pPr>
        <w:spacing w:line="240" w:lineRule="auto"/>
        <w:rPr>
          <w:lang w:val="es-CO"/>
        </w:rPr>
      </w:pPr>
      <w:r w:rsidRPr="006F356F">
        <w:rPr>
          <w:b/>
          <w:bCs/>
          <w:color w:val="910D28"/>
          <w:lang w:val="es-CO"/>
        </w:rPr>
        <w:t>General</w:t>
      </w:r>
      <w:r w:rsidRPr="006F356F">
        <w:rPr>
          <w:lang w:val="es-CO"/>
        </w:rPr>
        <w:t xml:space="preserve"> </w:t>
      </w:r>
    </w:p>
    <w:p w14:paraId="37CBDA06" w14:textId="5709EC0B" w:rsidR="004E34D1" w:rsidRPr="006F356F" w:rsidRDefault="004E34D1" w:rsidP="00374946">
      <w:pPr>
        <w:spacing w:line="240" w:lineRule="auto"/>
        <w:jc w:val="both"/>
        <w:rPr>
          <w:sz w:val="22"/>
          <w:szCs w:val="22"/>
          <w:lang w:val="es-CO"/>
        </w:rPr>
      </w:pPr>
      <w:r w:rsidRPr="006F356F">
        <w:rPr>
          <w:sz w:val="22"/>
          <w:szCs w:val="22"/>
          <w:lang w:val="es-CO"/>
        </w:rPr>
        <w:t>Todo lo que se compone de pequeñas partículas sólidas o gotas líquidas y se encuentra en la atmósfera se denomina materia particulada (PM).  Las partículas pueden estar compuestas por muchas cosas diferentes, dependiendo de su procedencia.  En todo el mundo, las fuentes naturales constituyen la mayor parte de las partículas.</w:t>
      </w:r>
    </w:p>
    <w:tbl>
      <w:tblPr>
        <w:tblStyle w:val="a"/>
        <w:tblW w:w="934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220"/>
        <w:gridCol w:w="5120"/>
      </w:tblGrid>
      <w:tr w:rsidR="004E34D1" w:rsidRPr="006F356F" w14:paraId="3397DB01" w14:textId="77777777" w:rsidTr="00374946">
        <w:trPr>
          <w:jc w:val="center"/>
        </w:trPr>
        <w:tc>
          <w:tcPr>
            <w:tcW w:w="4220" w:type="dxa"/>
            <w:shd w:val="clear" w:color="auto" w:fill="3E5C61"/>
          </w:tcPr>
          <w:p w14:paraId="2FE9831B" w14:textId="187DE756" w:rsidR="004E34D1" w:rsidRPr="006F356F" w:rsidRDefault="004E34D1" w:rsidP="00B85B02">
            <w:pPr>
              <w:pBdr>
                <w:top w:val="nil"/>
                <w:left w:val="nil"/>
                <w:bottom w:val="nil"/>
                <w:right w:val="nil"/>
                <w:between w:val="nil"/>
              </w:pBdr>
              <w:spacing w:after="120" w:line="276" w:lineRule="auto"/>
              <w:jc w:val="center"/>
              <w:rPr>
                <w:b/>
                <w:color w:val="FFFFFF"/>
                <w:sz w:val="22"/>
                <w:szCs w:val="22"/>
                <w:lang w:val="es-CO"/>
              </w:rPr>
            </w:pPr>
            <w:r w:rsidRPr="006F356F">
              <w:rPr>
                <w:b/>
                <w:bCs/>
                <w:color w:val="FFFFFF"/>
                <w:sz w:val="22"/>
                <w:szCs w:val="22"/>
                <w:lang w:val="es-CO"/>
              </w:rPr>
              <w:t>Formas naturales de las partículas (PM)</w:t>
            </w:r>
          </w:p>
        </w:tc>
        <w:tc>
          <w:tcPr>
            <w:tcW w:w="5120" w:type="dxa"/>
            <w:shd w:val="clear" w:color="auto" w:fill="3E5C61"/>
          </w:tcPr>
          <w:p w14:paraId="2C577E5F" w14:textId="184401D4" w:rsidR="004E34D1" w:rsidRPr="006F356F" w:rsidRDefault="004E34D1">
            <w:pPr>
              <w:pBdr>
                <w:top w:val="nil"/>
                <w:left w:val="nil"/>
                <w:bottom w:val="nil"/>
                <w:right w:val="nil"/>
                <w:between w:val="nil"/>
              </w:pBdr>
              <w:spacing w:after="120" w:line="276" w:lineRule="auto"/>
              <w:jc w:val="center"/>
              <w:rPr>
                <w:b/>
                <w:color w:val="FFFFFF"/>
                <w:sz w:val="22"/>
                <w:szCs w:val="22"/>
                <w:lang w:val="es-CO"/>
              </w:rPr>
            </w:pPr>
            <w:r w:rsidRPr="006F356F">
              <w:rPr>
                <w:b/>
                <w:bCs/>
                <w:color w:val="FFFFFF"/>
                <w:sz w:val="22"/>
                <w:szCs w:val="22"/>
                <w:lang w:val="es-CO"/>
              </w:rPr>
              <w:t>Fuentes artificiales de partículas (PM)</w:t>
            </w:r>
          </w:p>
        </w:tc>
      </w:tr>
      <w:tr w:rsidR="004E34D1" w:rsidRPr="006F356F" w14:paraId="09E84589" w14:textId="77777777" w:rsidTr="00374946">
        <w:trPr>
          <w:jc w:val="center"/>
        </w:trPr>
        <w:tc>
          <w:tcPr>
            <w:tcW w:w="4220" w:type="dxa"/>
          </w:tcPr>
          <w:p w14:paraId="589918E6" w14:textId="77777777" w:rsidR="004E34D1" w:rsidRPr="006F356F" w:rsidRDefault="004E34D1" w:rsidP="004E34D1">
            <w:pPr>
              <w:numPr>
                <w:ilvl w:val="0"/>
                <w:numId w:val="2"/>
              </w:numPr>
              <w:jc w:val="both"/>
              <w:rPr>
                <w:sz w:val="22"/>
                <w:szCs w:val="22"/>
                <w:lang w:val="es-CO"/>
              </w:rPr>
            </w:pPr>
            <w:r w:rsidRPr="006F356F">
              <w:rPr>
                <w:sz w:val="22"/>
                <w:szCs w:val="22"/>
                <w:lang w:val="es-CO"/>
              </w:rPr>
              <w:t>Polen y esporas</w:t>
            </w:r>
          </w:p>
          <w:p w14:paraId="045D15B0" w14:textId="77777777" w:rsidR="004E34D1" w:rsidRPr="006F356F" w:rsidRDefault="004E34D1" w:rsidP="004E34D1">
            <w:pPr>
              <w:numPr>
                <w:ilvl w:val="0"/>
                <w:numId w:val="2"/>
              </w:numPr>
              <w:jc w:val="both"/>
              <w:rPr>
                <w:sz w:val="22"/>
                <w:szCs w:val="22"/>
                <w:lang w:val="es-CO"/>
              </w:rPr>
            </w:pPr>
            <w:r w:rsidRPr="006F356F">
              <w:rPr>
                <w:sz w:val="22"/>
                <w:szCs w:val="22"/>
                <w:lang w:val="es-CO"/>
              </w:rPr>
              <w:t>Sal marina</w:t>
            </w:r>
          </w:p>
          <w:p w14:paraId="0215A428" w14:textId="77777777" w:rsidR="004E34D1" w:rsidRPr="006F356F" w:rsidRDefault="004E34D1" w:rsidP="004E34D1">
            <w:pPr>
              <w:numPr>
                <w:ilvl w:val="0"/>
                <w:numId w:val="2"/>
              </w:numPr>
              <w:jc w:val="both"/>
              <w:rPr>
                <w:sz w:val="22"/>
                <w:szCs w:val="22"/>
                <w:lang w:val="es-CO"/>
              </w:rPr>
            </w:pPr>
            <w:r w:rsidRPr="006F356F">
              <w:rPr>
                <w:sz w:val="22"/>
                <w:szCs w:val="22"/>
                <w:lang w:val="es-CO"/>
              </w:rPr>
              <w:t>Polvo de zonas secas</w:t>
            </w:r>
          </w:p>
          <w:p w14:paraId="1347543F" w14:textId="77777777" w:rsidR="004E34D1" w:rsidRPr="006F356F" w:rsidRDefault="004E34D1" w:rsidP="004E34D1">
            <w:pPr>
              <w:numPr>
                <w:ilvl w:val="0"/>
                <w:numId w:val="2"/>
              </w:numPr>
              <w:jc w:val="both"/>
              <w:rPr>
                <w:sz w:val="22"/>
                <w:szCs w:val="22"/>
                <w:lang w:val="es-CO"/>
              </w:rPr>
            </w:pPr>
            <w:r w:rsidRPr="006F356F">
              <w:rPr>
                <w:sz w:val="22"/>
                <w:szCs w:val="22"/>
                <w:lang w:val="es-CO"/>
              </w:rPr>
              <w:t>Polvo de los volcanes</w:t>
            </w:r>
          </w:p>
          <w:p w14:paraId="5DF18F81" w14:textId="3277B3D4" w:rsidR="004E34D1" w:rsidRPr="006F356F" w:rsidRDefault="004E34D1" w:rsidP="004E34D1">
            <w:pPr>
              <w:pStyle w:val="ListParagraph"/>
              <w:numPr>
                <w:ilvl w:val="0"/>
                <w:numId w:val="2"/>
              </w:numPr>
              <w:jc w:val="both"/>
              <w:rPr>
                <w:sz w:val="22"/>
                <w:szCs w:val="22"/>
                <w:lang w:val="es-CO"/>
              </w:rPr>
            </w:pPr>
            <w:r w:rsidRPr="006F356F">
              <w:rPr>
                <w:sz w:val="22"/>
                <w:szCs w:val="22"/>
                <w:lang w:val="es-CO"/>
              </w:rPr>
              <w:t>Productos de los incendios forestales</w:t>
            </w:r>
          </w:p>
        </w:tc>
        <w:tc>
          <w:tcPr>
            <w:tcW w:w="5120" w:type="dxa"/>
          </w:tcPr>
          <w:p w14:paraId="1729E832" w14:textId="77777777" w:rsidR="004E34D1" w:rsidRPr="006F356F" w:rsidRDefault="004E34D1" w:rsidP="004E34D1">
            <w:pPr>
              <w:numPr>
                <w:ilvl w:val="0"/>
                <w:numId w:val="2"/>
              </w:numPr>
              <w:ind w:left="515"/>
              <w:rPr>
                <w:sz w:val="22"/>
                <w:szCs w:val="22"/>
                <w:lang w:val="es-CO"/>
              </w:rPr>
            </w:pPr>
            <w:r w:rsidRPr="006F356F">
              <w:rPr>
                <w:sz w:val="22"/>
                <w:szCs w:val="22"/>
                <w:lang w:val="es-CO"/>
              </w:rPr>
              <w:t>Vehículos de motor</w:t>
            </w:r>
          </w:p>
          <w:p w14:paraId="3DBD90DE" w14:textId="77777777" w:rsidR="004E34D1" w:rsidRPr="006F356F" w:rsidRDefault="004E34D1" w:rsidP="004E34D1">
            <w:pPr>
              <w:numPr>
                <w:ilvl w:val="0"/>
                <w:numId w:val="2"/>
              </w:numPr>
              <w:ind w:left="515"/>
              <w:rPr>
                <w:sz w:val="22"/>
                <w:szCs w:val="22"/>
                <w:lang w:val="es-CO"/>
              </w:rPr>
            </w:pPr>
            <w:r w:rsidRPr="006F356F">
              <w:rPr>
                <w:sz w:val="22"/>
                <w:szCs w:val="22"/>
                <w:lang w:val="es-CO"/>
              </w:rPr>
              <w:t>Calderas industriales y de servicios públicos</w:t>
            </w:r>
          </w:p>
          <w:p w14:paraId="2C6B7229" w14:textId="77777777" w:rsidR="004E34D1" w:rsidRPr="006F356F" w:rsidRDefault="004E34D1" w:rsidP="004E34D1">
            <w:pPr>
              <w:numPr>
                <w:ilvl w:val="0"/>
                <w:numId w:val="2"/>
              </w:numPr>
              <w:ind w:left="515"/>
              <w:rPr>
                <w:sz w:val="22"/>
                <w:szCs w:val="22"/>
                <w:lang w:val="es-CO"/>
              </w:rPr>
            </w:pPr>
            <w:r w:rsidRPr="006F356F">
              <w:rPr>
                <w:sz w:val="22"/>
                <w:szCs w:val="22"/>
                <w:lang w:val="es-CO"/>
              </w:rPr>
              <w:t>Polvo de las carreteras</w:t>
            </w:r>
          </w:p>
          <w:p w14:paraId="31075CBF" w14:textId="77777777" w:rsidR="004E34D1" w:rsidRPr="006F356F" w:rsidRDefault="004E34D1" w:rsidP="004E34D1">
            <w:pPr>
              <w:numPr>
                <w:ilvl w:val="0"/>
                <w:numId w:val="2"/>
              </w:numPr>
              <w:ind w:left="515"/>
              <w:rPr>
                <w:sz w:val="22"/>
                <w:szCs w:val="22"/>
                <w:lang w:val="es-CO"/>
              </w:rPr>
            </w:pPr>
            <w:r w:rsidRPr="006F356F">
              <w:rPr>
                <w:sz w:val="22"/>
                <w:szCs w:val="22"/>
                <w:lang w:val="es-CO"/>
              </w:rPr>
              <w:t>Actividades agrícolas, de construcción y mineras</w:t>
            </w:r>
          </w:p>
          <w:p w14:paraId="027DDAAA" w14:textId="77777777" w:rsidR="004E34D1" w:rsidRPr="006F356F" w:rsidRDefault="004E34D1" w:rsidP="004E34D1">
            <w:pPr>
              <w:numPr>
                <w:ilvl w:val="0"/>
                <w:numId w:val="2"/>
              </w:numPr>
              <w:ind w:left="515"/>
              <w:rPr>
                <w:sz w:val="22"/>
                <w:szCs w:val="22"/>
                <w:lang w:val="es-CO"/>
              </w:rPr>
            </w:pPr>
            <w:r w:rsidRPr="006F356F">
              <w:rPr>
                <w:sz w:val="22"/>
                <w:szCs w:val="22"/>
                <w:lang w:val="es-CO"/>
              </w:rPr>
              <w:t>Incendios prescritos y otras formas de quema al aire libre</w:t>
            </w:r>
          </w:p>
          <w:p w14:paraId="171B35B6" w14:textId="313A65FA" w:rsidR="004E34D1" w:rsidRPr="006F356F" w:rsidRDefault="004E34D1" w:rsidP="004E34D1">
            <w:pPr>
              <w:pStyle w:val="ListParagraph"/>
              <w:numPr>
                <w:ilvl w:val="0"/>
                <w:numId w:val="2"/>
              </w:numPr>
              <w:ind w:left="515"/>
              <w:rPr>
                <w:sz w:val="22"/>
                <w:szCs w:val="22"/>
                <w:lang w:val="es-CO"/>
              </w:rPr>
            </w:pPr>
            <w:r w:rsidRPr="006F356F">
              <w:rPr>
                <w:sz w:val="22"/>
                <w:szCs w:val="22"/>
                <w:lang w:val="es-CO"/>
              </w:rPr>
              <w:t>Gases liberados accidentalmente por las operaciones de la fábrica</w:t>
            </w:r>
          </w:p>
        </w:tc>
      </w:tr>
    </w:tbl>
    <w:p w14:paraId="7E2D9A25" w14:textId="48BAD936" w:rsidR="004E34D1" w:rsidRPr="006F356F" w:rsidRDefault="004E34D1" w:rsidP="00374946">
      <w:pPr>
        <w:spacing w:line="240" w:lineRule="auto"/>
        <w:jc w:val="both"/>
        <w:rPr>
          <w:sz w:val="22"/>
          <w:szCs w:val="22"/>
          <w:lang w:val="es-CO"/>
        </w:rPr>
      </w:pPr>
      <w:r w:rsidRPr="006F356F">
        <w:rPr>
          <w:sz w:val="22"/>
          <w:szCs w:val="22"/>
          <w:lang w:val="es-CO"/>
        </w:rPr>
        <w:t xml:space="preserve">Las partículas llegan al aire a través de la combustión, la quema, la construcción, la minería, la fundición de metales (extracción de diversos elementos del metal), el procesamiento de metales y la molienda. Las partículas también pueden formarse en la atmósfera a través de la condensación. </w:t>
      </w:r>
    </w:p>
    <w:p w14:paraId="367F6CA3" w14:textId="77777777" w:rsidR="004E34D1" w:rsidRPr="006F356F" w:rsidRDefault="004E34D1" w:rsidP="00374946">
      <w:pPr>
        <w:spacing w:line="240" w:lineRule="auto"/>
        <w:jc w:val="both"/>
        <w:rPr>
          <w:sz w:val="22"/>
          <w:szCs w:val="22"/>
          <w:lang w:val="es-CO"/>
        </w:rPr>
      </w:pPr>
      <w:r w:rsidRPr="006F356F">
        <w:rPr>
          <w:sz w:val="22"/>
          <w:szCs w:val="22"/>
          <w:lang w:val="es-CO"/>
        </w:rPr>
        <w:t xml:space="preserve">El tamaño de las partículas puede variar entre menos de 0.1 micrómetros (µm) y 50 micrómetros (µm) de diámetro. Una sola hebra de cabello humano tiene entre 50 y 70 micrómetros (µm) de diámetro. Las partículas mayores de 50 micrómetros (µm) se depositan en el aire. Las partículas mayores de 10 micrómetros (µm) pero menores de 50 micrómetros (µm) suelen ser polvo arrastrado.   </w:t>
      </w:r>
    </w:p>
    <w:p w14:paraId="517771F8" w14:textId="77777777" w:rsidR="004E34D1" w:rsidRPr="006F356F" w:rsidRDefault="004E34D1" w:rsidP="004E34D1">
      <w:pPr>
        <w:spacing w:line="240" w:lineRule="auto"/>
        <w:jc w:val="center"/>
        <w:rPr>
          <w:lang w:val="es-CO"/>
        </w:rPr>
      </w:pPr>
      <w:r w:rsidRPr="006F356F">
        <w:rPr>
          <w:noProof/>
          <w:lang w:val="es-CO"/>
        </w:rPr>
        <w:drawing>
          <wp:inline distT="114300" distB="114300" distL="114300" distR="114300" wp14:anchorId="08784CB9" wp14:editId="643A2743">
            <wp:extent cx="4165600" cy="3060700"/>
            <wp:effectExtent l="0" t="0" r="6350" b="6350"/>
            <wp:docPr id="5" name="image3.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3.jpg" descr="Diagram&#10;&#10;Description automatically generated"/>
                    <pic:cNvPicPr preferRelativeResize="0"/>
                  </pic:nvPicPr>
                  <pic:blipFill>
                    <a:blip r:embed="rId10"/>
                    <a:srcRect/>
                    <a:stretch>
                      <a:fillRect/>
                    </a:stretch>
                  </pic:blipFill>
                  <pic:spPr>
                    <a:xfrm>
                      <a:off x="0" y="0"/>
                      <a:ext cx="4166185" cy="3061130"/>
                    </a:xfrm>
                    <a:prstGeom prst="rect">
                      <a:avLst/>
                    </a:prstGeom>
                    <a:ln/>
                  </pic:spPr>
                </pic:pic>
              </a:graphicData>
            </a:graphic>
          </wp:inline>
        </w:drawing>
      </w:r>
    </w:p>
    <w:p w14:paraId="41163986" w14:textId="77777777" w:rsidR="00B85B02" w:rsidRPr="006F356F" w:rsidRDefault="004E34D1" w:rsidP="00B85B02">
      <w:pPr>
        <w:spacing w:before="240" w:after="240" w:line="240" w:lineRule="auto"/>
        <w:ind w:left="560"/>
        <w:rPr>
          <w:i/>
          <w:color w:val="626262"/>
          <w:sz w:val="18"/>
          <w:szCs w:val="18"/>
          <w:lang w:val="es-CO"/>
        </w:rPr>
      </w:pPr>
      <w:r w:rsidRPr="006F356F">
        <w:rPr>
          <w:i/>
          <w:iCs/>
          <w:color w:val="626262"/>
          <w:sz w:val="18"/>
          <w:szCs w:val="18"/>
          <w:lang w:val="es-CO"/>
        </w:rPr>
        <w:t xml:space="preserve">Agencia de Protección Ambiental de los Estados Unidos (s.f.). Comparación del tamaño de las partículas de PM [Imagen digital]. Extraído el 16 de abril de 2021, de </w:t>
      </w:r>
      <w:hyperlink r:id="rId11" w:anchor="PM">
        <w:r w:rsidRPr="006F356F">
          <w:rPr>
            <w:i/>
            <w:iCs/>
            <w:color w:val="626262"/>
            <w:sz w:val="18"/>
            <w:szCs w:val="18"/>
            <w:u w:val="single"/>
            <w:lang w:val="es-CO"/>
          </w:rPr>
          <w:t>https://www.epa.gov/pm-pollution/particulate-matter-pm-basics#PM</w:t>
        </w:r>
      </w:hyperlink>
      <w:r w:rsidRPr="006F356F">
        <w:rPr>
          <w:i/>
          <w:iCs/>
          <w:color w:val="626262"/>
          <w:sz w:val="18"/>
          <w:szCs w:val="18"/>
          <w:lang w:val="es-CO"/>
        </w:rPr>
        <w:t xml:space="preserve"> </w:t>
      </w:r>
    </w:p>
    <w:p w14:paraId="6D5DF0F1" w14:textId="1675D26C" w:rsidR="004B1099" w:rsidRPr="006F356F" w:rsidRDefault="004B1099" w:rsidP="00B85B02">
      <w:pPr>
        <w:spacing w:before="240" w:after="240" w:line="240" w:lineRule="auto"/>
        <w:rPr>
          <w:i/>
          <w:color w:val="626262"/>
          <w:sz w:val="18"/>
          <w:szCs w:val="18"/>
          <w:lang w:val="es-CO"/>
        </w:rPr>
      </w:pPr>
      <w:r w:rsidRPr="006F356F">
        <w:rPr>
          <w:sz w:val="22"/>
          <w:szCs w:val="22"/>
          <w:lang w:val="es-CO"/>
        </w:rPr>
        <w:lastRenderedPageBreak/>
        <w:t xml:space="preserve">Las partículas de 10 micrómetros (µm) o menos representan un riesgo para la salud porque son lo suficientemente pequeñas como para entrar en el sistema respiratorio a través de la respiración.  También pueden alojarse en los pequeños sacos de los pulmones. Cuando las partículas tienen un diámetro de 2.5 micrómetros (µm) o menos, hacen que el cielo tenga un aspecto brumoso en las ciudades y las zonas rurales.  Las diminutas partículas del aire dispersan la luz, lo que crea una niebla que bloquea la claridad de lo que vemos. </w:t>
      </w:r>
    </w:p>
    <w:p w14:paraId="47F1419D" w14:textId="0A054E13" w:rsidR="004B1099" w:rsidRPr="006F356F" w:rsidRDefault="004B1099" w:rsidP="00374946">
      <w:pPr>
        <w:spacing w:line="240" w:lineRule="auto"/>
        <w:jc w:val="both"/>
        <w:rPr>
          <w:sz w:val="22"/>
          <w:szCs w:val="22"/>
          <w:lang w:val="es-CO"/>
        </w:rPr>
      </w:pPr>
      <w:r w:rsidRPr="006F356F">
        <w:rPr>
          <w:sz w:val="22"/>
          <w:szCs w:val="22"/>
          <w:lang w:val="es-CO"/>
        </w:rPr>
        <w:t xml:space="preserve">La distancia que las partículas pueden recorrer en el aire dependerá del tamaño, la forma y la densidad de las mismas.  Las condiciones meteorológicas también influyen en la distancia que puede recorrer.  Las partículas de más de 10 micrómetros (µm) de diámetro se asientan con bastante rapidez. Su efecto se siente sobre todo cerca de su origen. Las partículas de menos de 2.5 micrómetros (µm) pueden permanecer en la atmósfera durante días o incluso semanas. </w:t>
      </w:r>
    </w:p>
    <w:p w14:paraId="0D6F0BD0" w14:textId="77777777" w:rsidR="004B1099" w:rsidRPr="006F356F" w:rsidRDefault="004B1099" w:rsidP="004B1099">
      <w:pPr>
        <w:spacing w:line="240" w:lineRule="auto"/>
        <w:rPr>
          <w:lang w:val="es-CO"/>
        </w:rPr>
      </w:pPr>
      <w:r w:rsidRPr="006F356F">
        <w:rPr>
          <w:b/>
          <w:bCs/>
          <w:color w:val="910D28"/>
          <w:lang w:val="es-CO"/>
        </w:rPr>
        <w:t>Efectos</w:t>
      </w:r>
      <w:r w:rsidRPr="006F356F">
        <w:rPr>
          <w:lang w:val="es-CO"/>
        </w:rPr>
        <w:t xml:space="preserve"> </w:t>
      </w:r>
    </w:p>
    <w:p w14:paraId="7824F3FD" w14:textId="1D2339BA" w:rsidR="004B1099" w:rsidRPr="006F356F" w:rsidRDefault="004B1099" w:rsidP="00374946">
      <w:pPr>
        <w:spacing w:line="240" w:lineRule="auto"/>
        <w:jc w:val="both"/>
        <w:rPr>
          <w:sz w:val="22"/>
          <w:szCs w:val="22"/>
          <w:lang w:val="es-CO"/>
        </w:rPr>
      </w:pPr>
      <w:r w:rsidRPr="006F356F">
        <w:rPr>
          <w:sz w:val="22"/>
          <w:szCs w:val="22"/>
          <w:lang w:val="es-CO"/>
        </w:rPr>
        <w:t>Las partículas pueden tener un impacto significativo en la salud de las personas.  Las personas con enfermedades pulmonares y cardíacas crónicas, los asmáticos, los ancianos y los niños corren un mayor riesgo que el individuo medio de sufrir los efectos de las partículas.  Algunas de ellas son las siguientes:</w:t>
      </w:r>
    </w:p>
    <w:p w14:paraId="3CB1316A" w14:textId="4590BF34"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 xml:space="preserve">Dificultad para respirar y síntomas respiratorios; </w:t>
      </w:r>
    </w:p>
    <w:p w14:paraId="74C176C3" w14:textId="5D041657"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Agravamiento de enfermedades respiratorias y cardíacas existentes;</w:t>
      </w:r>
    </w:p>
    <w:p w14:paraId="3CF60D14" w14:textId="00D9E964"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Alteraciones en los sistemas de defensa del organismo contra materiales extraños;</w:t>
      </w:r>
    </w:p>
    <w:p w14:paraId="46608405" w14:textId="42DB5661"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Daños en el tejido pulmonar;</w:t>
      </w:r>
    </w:p>
    <w:p w14:paraId="7FB57FCA" w14:textId="63938C62"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Cáncer;</w:t>
      </w:r>
    </w:p>
    <w:p w14:paraId="70F46FA0" w14:textId="77777777"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 xml:space="preserve">Muerte prematura. </w:t>
      </w:r>
    </w:p>
    <w:p w14:paraId="6C6B4814" w14:textId="6B91D391" w:rsidR="004B1099" w:rsidRPr="006F356F" w:rsidRDefault="004B1099" w:rsidP="00374946">
      <w:pPr>
        <w:spacing w:before="240" w:line="240" w:lineRule="auto"/>
        <w:jc w:val="both"/>
        <w:rPr>
          <w:sz w:val="22"/>
          <w:szCs w:val="22"/>
          <w:lang w:val="es-CO"/>
        </w:rPr>
      </w:pPr>
      <w:r w:rsidRPr="006F356F">
        <w:rPr>
          <w:sz w:val="22"/>
          <w:szCs w:val="22"/>
          <w:lang w:val="es-CO"/>
        </w:rPr>
        <w:t xml:space="preserve">El alcance de los efectos depende del tamaño, la cantidad y la composición de las partículas, así como de la concentración y la composición de los gases que se combinan con las partículas. Las partículas de menos de 6 micrómetros (µm) de diámetro pueden penetrar en los conductos bronquiales. Las partículas menores de 1 micrómetro (µm) pueden depositarse en los pulmones. El tejido pulmonar se daña y pueden producirse cambios en el sistema inmunitario. El siguiente gráfico ilustra los efectos que la contaminación del aire puede tener en los sistemas del cuerpo humano. </w:t>
      </w:r>
    </w:p>
    <w:p w14:paraId="1923F100" w14:textId="12E15F46" w:rsidR="008B6050" w:rsidRPr="006F356F" w:rsidRDefault="008B6050" w:rsidP="008B6050">
      <w:pPr>
        <w:spacing w:before="240" w:line="240" w:lineRule="auto"/>
        <w:jc w:val="center"/>
        <w:rPr>
          <w:lang w:val="es-CO"/>
        </w:rPr>
      </w:pPr>
      <w:r w:rsidRPr="006F356F">
        <w:rPr>
          <w:noProof/>
          <w:lang w:val="es-CO"/>
        </w:rPr>
        <w:drawing>
          <wp:inline distT="114300" distB="114300" distL="114300" distR="114300" wp14:anchorId="6B10C4D6" wp14:editId="3BE41FDB">
            <wp:extent cx="3644778" cy="2374900"/>
            <wp:effectExtent l="0" t="0" r="0" b="6350"/>
            <wp:docPr id="3" name="image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4.png" descr="Diagram&#10;&#10;Description automatically generated"/>
                    <pic:cNvPicPr preferRelativeResize="0"/>
                  </pic:nvPicPr>
                  <pic:blipFill>
                    <a:blip r:embed="rId12"/>
                    <a:srcRect/>
                    <a:stretch>
                      <a:fillRect/>
                    </a:stretch>
                  </pic:blipFill>
                  <pic:spPr>
                    <a:xfrm>
                      <a:off x="0" y="0"/>
                      <a:ext cx="3651500" cy="2379280"/>
                    </a:xfrm>
                    <a:prstGeom prst="rect">
                      <a:avLst/>
                    </a:prstGeom>
                    <a:ln/>
                  </pic:spPr>
                </pic:pic>
              </a:graphicData>
            </a:graphic>
          </wp:inline>
        </w:drawing>
      </w:r>
    </w:p>
    <w:p w14:paraId="7CE04154" w14:textId="77777777" w:rsidR="006665D4" w:rsidRPr="006F356F" w:rsidRDefault="006665D4" w:rsidP="006665D4">
      <w:pPr>
        <w:spacing w:before="240" w:after="240" w:line="240" w:lineRule="auto"/>
        <w:ind w:left="560"/>
        <w:rPr>
          <w:iCs/>
          <w:color w:val="626262"/>
          <w:sz w:val="16"/>
          <w:szCs w:val="16"/>
          <w:lang w:val="es-CO"/>
        </w:rPr>
      </w:pPr>
      <w:r w:rsidRPr="006F356F">
        <w:rPr>
          <w:color w:val="626262"/>
          <w:sz w:val="16"/>
          <w:szCs w:val="16"/>
          <w:lang w:val="es-CO"/>
        </w:rPr>
        <w:t xml:space="preserve">NASA/JPL-Caltech. (2020, 21 de octubre). [La contaminación atmosférica por partículas está asociada a numerosos efectos adversos para la salud]. Extraído el 16 de abril de 2021, de </w:t>
      </w:r>
      <w:hyperlink r:id="rId13">
        <w:r w:rsidRPr="006F356F">
          <w:rPr>
            <w:color w:val="626262"/>
            <w:sz w:val="16"/>
            <w:szCs w:val="16"/>
            <w:u w:val="single"/>
            <w:lang w:val="es-CO"/>
          </w:rPr>
          <w:t>https://climate.nasa.gov/news/3027/getting-to-the-heart-of-the-particulate-matter/</w:t>
        </w:r>
      </w:hyperlink>
      <w:r w:rsidRPr="006F356F">
        <w:rPr>
          <w:color w:val="626262"/>
          <w:sz w:val="16"/>
          <w:szCs w:val="16"/>
          <w:lang w:val="es-CO"/>
        </w:rPr>
        <w:t xml:space="preserve"> </w:t>
      </w:r>
    </w:p>
    <w:p w14:paraId="252FA556" w14:textId="77777777" w:rsidR="009045C1" w:rsidRPr="006F356F" w:rsidRDefault="009045C1">
      <w:pPr>
        <w:rPr>
          <w:b/>
          <w:color w:val="910D28"/>
          <w:lang w:val="es-CO"/>
        </w:rPr>
      </w:pPr>
      <w:r w:rsidRPr="006F356F">
        <w:rPr>
          <w:b/>
          <w:bCs/>
          <w:color w:val="910D28"/>
          <w:lang w:val="es-CO"/>
        </w:rPr>
        <w:br w:type="page"/>
      </w:r>
    </w:p>
    <w:p w14:paraId="2226DF2B" w14:textId="323E9039" w:rsidR="002B2DB4" w:rsidRPr="006F356F" w:rsidRDefault="002B2DB4" w:rsidP="002B2DB4">
      <w:pPr>
        <w:spacing w:line="240" w:lineRule="auto"/>
        <w:rPr>
          <w:i/>
          <w:lang w:val="es-CO"/>
        </w:rPr>
      </w:pPr>
      <w:r w:rsidRPr="006F356F">
        <w:rPr>
          <w:b/>
          <w:bCs/>
          <w:color w:val="910D28"/>
          <w:lang w:val="es-CO"/>
        </w:rPr>
        <w:lastRenderedPageBreak/>
        <w:t>Normas</w:t>
      </w:r>
      <w:r w:rsidRPr="006F356F">
        <w:rPr>
          <w:i/>
          <w:iCs/>
          <w:lang w:val="es-CO"/>
        </w:rPr>
        <w:t xml:space="preserve">  </w:t>
      </w:r>
    </w:p>
    <w:p w14:paraId="484C2D0B" w14:textId="77777777" w:rsidR="002B2DB4" w:rsidRPr="006F356F" w:rsidRDefault="002B2DB4" w:rsidP="00526A1D">
      <w:pPr>
        <w:spacing w:line="240" w:lineRule="auto"/>
        <w:jc w:val="both"/>
        <w:rPr>
          <w:sz w:val="22"/>
          <w:szCs w:val="22"/>
          <w:lang w:val="es-CO"/>
        </w:rPr>
      </w:pPr>
      <w:r w:rsidRPr="006F356F">
        <w:rPr>
          <w:sz w:val="22"/>
          <w:szCs w:val="22"/>
          <w:lang w:val="es-CO"/>
        </w:rPr>
        <w:t xml:space="preserve">Existen tres Normas Nacionales de Calidad del Aire Ambiente para las PM-2.5: </w:t>
      </w:r>
    </w:p>
    <w:p w14:paraId="2D68D038" w14:textId="19B594B9" w:rsidR="002B2DB4" w:rsidRPr="006F356F" w:rsidRDefault="002B2DB4" w:rsidP="00526A1D">
      <w:pPr>
        <w:numPr>
          <w:ilvl w:val="0"/>
          <w:numId w:val="5"/>
        </w:numPr>
        <w:spacing w:after="0" w:line="240" w:lineRule="auto"/>
        <w:jc w:val="both"/>
        <w:rPr>
          <w:sz w:val="22"/>
          <w:szCs w:val="22"/>
          <w:lang w:val="es-CO"/>
        </w:rPr>
      </w:pPr>
      <w:r w:rsidRPr="006F356F">
        <w:rPr>
          <w:sz w:val="22"/>
          <w:szCs w:val="22"/>
          <w:lang w:val="es-CO"/>
        </w:rPr>
        <w:t>Una norma primaria de una media aritmética anual de 12 microgramos por metro cúbico (µg/m</w:t>
      </w:r>
      <w:r w:rsidR="006F356F" w:rsidRPr="006F356F">
        <w:rPr>
          <w:sz w:val="22"/>
          <w:szCs w:val="22"/>
          <w:lang w:val="es-CO"/>
        </w:rPr>
        <w:t>3)</w:t>
      </w:r>
      <w:r w:rsidRPr="006F356F">
        <w:rPr>
          <w:sz w:val="22"/>
          <w:szCs w:val="22"/>
          <w:lang w:val="es-CO"/>
        </w:rPr>
        <w:t>;</w:t>
      </w:r>
    </w:p>
    <w:p w14:paraId="2908CA4A" w14:textId="4917A3F8" w:rsidR="002B2DB4" w:rsidRPr="006F356F" w:rsidRDefault="002B2DB4" w:rsidP="00526A1D">
      <w:pPr>
        <w:numPr>
          <w:ilvl w:val="0"/>
          <w:numId w:val="5"/>
        </w:numPr>
        <w:spacing w:after="0" w:line="240" w:lineRule="auto"/>
        <w:jc w:val="both"/>
        <w:rPr>
          <w:sz w:val="22"/>
          <w:szCs w:val="22"/>
          <w:lang w:val="es-CO"/>
        </w:rPr>
      </w:pPr>
      <w:r w:rsidRPr="006F356F">
        <w:rPr>
          <w:sz w:val="22"/>
          <w:szCs w:val="22"/>
          <w:lang w:val="es-CO"/>
        </w:rPr>
        <w:t xml:space="preserve">Una norma secundaria de 15 µg/m3 (media aritmética anual); </w:t>
      </w:r>
    </w:p>
    <w:p w14:paraId="51453978" w14:textId="24F26162" w:rsidR="002B2DB4" w:rsidRPr="006F356F" w:rsidRDefault="002B2DB4" w:rsidP="00526A1D">
      <w:pPr>
        <w:numPr>
          <w:ilvl w:val="0"/>
          <w:numId w:val="5"/>
        </w:numPr>
        <w:spacing w:after="0" w:line="240" w:lineRule="auto"/>
        <w:jc w:val="both"/>
        <w:rPr>
          <w:sz w:val="22"/>
          <w:szCs w:val="22"/>
          <w:lang w:val="es-CO"/>
        </w:rPr>
      </w:pPr>
      <w:r w:rsidRPr="006F356F">
        <w:rPr>
          <w:sz w:val="22"/>
          <w:szCs w:val="22"/>
          <w:lang w:val="es-CO"/>
        </w:rPr>
        <w:t>Una media de 24 horas que no supere los 35 µg/m</w:t>
      </w:r>
      <w:r w:rsidR="006F356F" w:rsidRPr="006F356F">
        <w:rPr>
          <w:sz w:val="22"/>
          <w:szCs w:val="22"/>
          <w:lang w:val="es-CO"/>
        </w:rPr>
        <w:t>3.</w:t>
      </w:r>
      <w:r w:rsidRPr="006F356F">
        <w:rPr>
          <w:sz w:val="22"/>
          <w:szCs w:val="22"/>
          <w:lang w:val="es-CO"/>
        </w:rPr>
        <w:t xml:space="preserve"> </w:t>
      </w:r>
    </w:p>
    <w:p w14:paraId="676C32AC" w14:textId="2FE6AAC9" w:rsidR="002B2DB4" w:rsidRPr="006F356F" w:rsidRDefault="002B2DB4" w:rsidP="00526A1D">
      <w:pPr>
        <w:spacing w:before="240" w:line="240" w:lineRule="auto"/>
        <w:jc w:val="both"/>
        <w:rPr>
          <w:sz w:val="22"/>
          <w:szCs w:val="22"/>
          <w:lang w:val="es-CO"/>
        </w:rPr>
      </w:pPr>
      <w:r w:rsidRPr="006F356F">
        <w:rPr>
          <w:sz w:val="22"/>
          <w:szCs w:val="22"/>
          <w:lang w:val="es-CO"/>
        </w:rPr>
        <w:t>Para las PM-10, la norma primaria y secundaria es una media de 24 horas de 150 µg/m3. El cumplimiento de las normas se basa en una media de datos de tres años naturales. Por lo tanto, las normas de PM-2.5 en 24 horas se cumplen cuando el número previsto de excesos por año durante tres años en cada lugar de control es inferior o igual a uno. La norma anual se alcanza cuando la media aritmética anual prevista para tres años es inferior o igual a la norma.</w:t>
      </w:r>
    </w:p>
    <w:p w14:paraId="3CE0E227" w14:textId="77777777" w:rsidR="002B2DB4" w:rsidRPr="006F356F" w:rsidRDefault="002B2DB4" w:rsidP="002B2DB4">
      <w:pPr>
        <w:spacing w:line="240" w:lineRule="auto"/>
        <w:rPr>
          <w:sz w:val="22"/>
          <w:szCs w:val="22"/>
          <w:lang w:val="es-CO"/>
        </w:rPr>
      </w:pPr>
    </w:p>
    <w:p w14:paraId="26173846" w14:textId="4E898674" w:rsidR="002B2DB4" w:rsidRPr="006F356F" w:rsidRDefault="002B2DB4" w:rsidP="002B2DB4">
      <w:pPr>
        <w:spacing w:line="240" w:lineRule="auto"/>
        <w:rPr>
          <w:sz w:val="20"/>
          <w:szCs w:val="20"/>
          <w:lang w:val="es-CO"/>
        </w:rPr>
      </w:pPr>
      <w:r w:rsidRPr="006F356F">
        <w:rPr>
          <w:sz w:val="20"/>
          <w:szCs w:val="20"/>
          <w:lang w:val="es-CO"/>
        </w:rPr>
        <w:t xml:space="preserve">Departamento de Calidad Ambiental de Oklahoma. (2020, abril). </w:t>
      </w:r>
      <w:r w:rsidRPr="006F356F">
        <w:rPr>
          <w:i/>
          <w:iCs/>
          <w:sz w:val="20"/>
          <w:szCs w:val="20"/>
          <w:lang w:val="es-CO"/>
        </w:rPr>
        <w:t xml:space="preserve">Partículas en suspensión. </w:t>
      </w:r>
      <w:r w:rsidRPr="006F356F">
        <w:rPr>
          <w:sz w:val="20"/>
          <w:szCs w:val="20"/>
          <w:lang w:val="es-CO"/>
        </w:rPr>
        <w:t xml:space="preserve">[hoja informativa]. Extraído de </w:t>
      </w:r>
      <w:hyperlink r:id="rId14">
        <w:r w:rsidRPr="006F356F">
          <w:rPr>
            <w:color w:val="1155CC"/>
            <w:sz w:val="20"/>
            <w:szCs w:val="20"/>
            <w:u w:val="single"/>
            <w:lang w:val="es-CO"/>
          </w:rPr>
          <w:t>https://www.deq.ok.gov/wp-content/uploads/deqmainresources/ParticulateMatter_04-2020.pdf</w:t>
        </w:r>
      </w:hyperlink>
      <w:r w:rsidRPr="006F356F">
        <w:rPr>
          <w:sz w:val="20"/>
          <w:szCs w:val="20"/>
          <w:lang w:val="es-CO"/>
        </w:rPr>
        <w:t xml:space="preserve"> </w:t>
      </w:r>
    </w:p>
    <w:p w14:paraId="4A03FC10" w14:textId="5F569388" w:rsidR="007C4F63" w:rsidRPr="006F356F" w:rsidRDefault="007C4F63">
      <w:pPr>
        <w:pStyle w:val="Heading1"/>
        <w:rPr>
          <w:sz w:val="20"/>
          <w:szCs w:val="20"/>
          <w:lang w:val="es-CO"/>
        </w:rPr>
      </w:pPr>
    </w:p>
    <w:sectPr w:rsidR="007C4F63" w:rsidRPr="006F356F" w:rsidSect="006F356F">
      <w:footerReference w:type="default" r:id="rId15"/>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2DCE4" w14:textId="77777777" w:rsidR="000E5DC3" w:rsidRDefault="000E5DC3">
      <w:pPr>
        <w:spacing w:after="0" w:line="240" w:lineRule="auto"/>
      </w:pPr>
      <w:r>
        <w:separator/>
      </w:r>
    </w:p>
  </w:endnote>
  <w:endnote w:type="continuationSeparator" w:id="0">
    <w:p w14:paraId="10CD5714" w14:textId="77777777" w:rsidR="000E5DC3" w:rsidRDefault="000E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37E5258E" w:rsidR="007C4F63" w:rsidRDefault="004E34D1">
    <w:pPr>
      <w:pBdr>
        <w:top w:val="nil"/>
        <w:left w:val="nil"/>
        <w:bottom w:val="nil"/>
        <w:right w:val="nil"/>
        <w:between w:val="nil"/>
      </w:pBdr>
      <w:tabs>
        <w:tab w:val="center" w:pos="4680"/>
        <w:tab w:val="right" w:pos="9360"/>
      </w:tabs>
      <w:spacing w:after="0" w:line="240" w:lineRule="auto"/>
      <w:rPr>
        <w:color w:val="000000"/>
      </w:rPr>
    </w:pPr>
    <w:r>
      <w:rPr>
        <w:noProof/>
        <w:lang w:val="es"/>
      </w:rPr>
      <mc:AlternateContent>
        <mc:Choice Requires="wps">
          <w:drawing>
            <wp:anchor distT="0" distB="0" distL="114300" distR="114300" simplePos="0" relativeHeight="251659264" behindDoc="0" locked="0" layoutInCell="1" hidden="0" allowOverlap="1" wp14:anchorId="682C466C" wp14:editId="0C923ECE">
              <wp:simplePos x="0" y="0"/>
              <wp:positionH relativeFrom="margin">
                <wp:align>center</wp:align>
              </wp:positionH>
              <wp:positionV relativeFrom="paragraph">
                <wp:posOffset>-276225</wp:posOffset>
              </wp:positionV>
              <wp:extent cx="4173311" cy="255814"/>
              <wp:effectExtent l="0" t="0" r="0" b="0"/>
              <wp:wrapNone/>
              <wp:docPr id="1" name="Rectangle 1"/>
              <wp:cNvGraphicFramePr/>
              <a:graphic xmlns:a="http://schemas.openxmlformats.org/drawingml/2006/main">
                <a:graphicData uri="http://schemas.microsoft.com/office/word/2010/wordprocessingShape">
                  <wps:wsp>
                    <wps:cNvSpPr/>
                    <wps:spPr>
                      <a:xfrm>
                        <a:off x="0" y="0"/>
                        <a:ext cx="4173311" cy="255814"/>
                      </a:xfrm>
                      <a:prstGeom prst="rect">
                        <a:avLst/>
                      </a:prstGeom>
                      <a:noFill/>
                      <a:ln>
                        <a:noFill/>
                      </a:ln>
                    </wps:spPr>
                    <wps:txbx>
                      <w:txbxContent>
                        <w:p w14:paraId="7AF807D3" w14:textId="48E2CC95" w:rsidR="007C4F63" w:rsidRDefault="00364E58">
                          <w:pPr>
                            <w:spacing w:after="0" w:line="240" w:lineRule="auto"/>
                            <w:jc w:val="right"/>
                            <w:textDirection w:val="btLr"/>
                            <w:rPr>
                              <w:rFonts w:ascii="Arial" w:eastAsia="Arial" w:hAnsi="Arial" w:cs="Arial"/>
                              <w:b/>
                              <w:bCs/>
                              <w:smallCaps/>
                              <w:color w:val="2D2D2D"/>
                              <w:lang w:val="es"/>
                            </w:rPr>
                          </w:pPr>
                          <w:r>
                            <w:rPr>
                              <w:rFonts w:ascii="Arial" w:eastAsia="Arial" w:hAnsi="Arial" w:cs="Arial"/>
                              <w:b/>
                              <w:bCs/>
                              <w:smallCaps/>
                              <w:color w:val="2D2D2D"/>
                              <w:lang w:val="es"/>
                            </w:rPr>
                            <w:t>ENVIRONMENTAL FACTORS</w:t>
                          </w:r>
                        </w:p>
                        <w:p w14:paraId="1088E76C" w14:textId="77777777" w:rsidR="00364E58" w:rsidRDefault="00364E58">
                          <w:pPr>
                            <w:spacing w:after="0" w:line="240" w:lineRule="auto"/>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2C466C" id="Rectangle 1" o:spid="_x0000_s1026" style="position:absolute;margin-left:0;margin-top:-21.75pt;width:328.6pt;height:20.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" filled="f" stroked="f">
              <v:textbox inset="2.53958mm,1.2694mm,2.53958mm,1.2694mm">
                <w:txbxContent>
                  <w:p w14:paraId="7AF807D3" w14:textId="48E2CC95" w:rsidR="007C4F63" w:rsidRDefault="00364E58">
                    <w:pPr>
                      <w:spacing w:after="0" w:line="240" w:lineRule="auto"/>
                      <w:jc w:val="right"/>
                      <w:textDirection w:val="btLr"/>
                      <w:rPr>
                        <w:rFonts w:ascii="Arial" w:eastAsia="Arial" w:hAnsi="Arial" w:cs="Arial"/>
                        <w:b/>
                        <w:bCs/>
                        <w:smallCaps/>
                        <w:color w:val="2D2D2D"/>
                        <w:lang w:val="es"/>
                      </w:rPr>
                    </w:pPr>
                    <w:r>
                      <w:rPr>
                        <w:rFonts w:ascii="Arial" w:eastAsia="Arial" w:hAnsi="Arial" w:cs="Arial"/>
                        <w:b/>
                        <w:bCs/>
                        <w:smallCaps/>
                        <w:color w:val="2D2D2D"/>
                        <w:lang w:val="es"/>
                      </w:rPr>
                      <w:t>ENVIRONMENTAL FACTORS</w:t>
                    </w:r>
                  </w:p>
                  <w:p w14:paraId="1088E76C" w14:textId="77777777" w:rsidR="00364E58" w:rsidRDefault="00364E58">
                    <w:pPr>
                      <w:spacing w:after="0" w:line="240" w:lineRule="auto"/>
                      <w:jc w:val="right"/>
                      <w:textDirection w:val="btLr"/>
                    </w:pPr>
                  </w:p>
                </w:txbxContent>
              </v:textbox>
              <w10:wrap anchorx="margin"/>
            </v:rect>
          </w:pict>
        </mc:Fallback>
      </mc:AlternateContent>
    </w:r>
    <w:r>
      <w:rPr>
        <w:noProof/>
        <w:lang w:val="es"/>
      </w:rPr>
      <w:drawing>
        <wp:anchor distT="0" distB="0" distL="0" distR="0" simplePos="0" relativeHeight="251658240" behindDoc="0" locked="0" layoutInCell="1" hidden="0" allowOverlap="1" wp14:anchorId="647381FC" wp14:editId="10BB12A2">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6BFE1" w14:textId="77777777" w:rsidR="000E5DC3" w:rsidRDefault="000E5DC3">
      <w:pPr>
        <w:spacing w:after="0" w:line="240" w:lineRule="auto"/>
      </w:pPr>
      <w:r>
        <w:separator/>
      </w:r>
    </w:p>
  </w:footnote>
  <w:footnote w:type="continuationSeparator" w:id="0">
    <w:p w14:paraId="1C0E7E32" w14:textId="77777777" w:rsidR="000E5DC3" w:rsidRDefault="000E5D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339A3"/>
    <w:multiLevelType w:val="multilevel"/>
    <w:tmpl w:val="E79AB75C"/>
    <w:lvl w:ilvl="0">
      <w:start w:val="1"/>
      <w:numFmt w:val="bullet"/>
      <w:lvlText w:val="●"/>
      <w:lvlJc w:val="left"/>
      <w:pPr>
        <w:ind w:left="360" w:hanging="360"/>
      </w:pPr>
      <w:rPr>
        <w:color w:val="910D28"/>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2" w15:restartNumberingAfterBreak="0">
    <w:nsid w:val="4DAC049C"/>
    <w:multiLevelType w:val="multilevel"/>
    <w:tmpl w:val="2F72A960"/>
    <w:lvl w:ilvl="0">
      <w:start w:val="1"/>
      <w:numFmt w:val="decimal"/>
      <w:lvlText w:val="%1."/>
      <w:lvlJc w:val="left"/>
      <w:pPr>
        <w:ind w:left="720" w:hanging="360"/>
      </w:pPr>
      <w:rPr>
        <w:rFonts w:ascii="Arial" w:eastAsia="Arial" w:hAnsi="Arial" w:cs="Arial"/>
        <w:b w:val="0"/>
        <w:bCs/>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3B12E8"/>
    <w:multiLevelType w:val="multilevel"/>
    <w:tmpl w:val="1174CC64"/>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89341D"/>
    <w:multiLevelType w:val="multilevel"/>
    <w:tmpl w:val="0F1ABF1C"/>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7888282">
    <w:abstractNumId w:val="1"/>
  </w:num>
  <w:num w:numId="2" w16cid:durableId="187107298">
    <w:abstractNumId w:val="0"/>
  </w:num>
  <w:num w:numId="3" w16cid:durableId="386802977">
    <w:abstractNumId w:val="4"/>
  </w:num>
  <w:num w:numId="4" w16cid:durableId="2140996566">
    <w:abstractNumId w:val="3"/>
  </w:num>
  <w:num w:numId="5" w16cid:durableId="1434280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14C42"/>
    <w:rsid w:val="000E5DC3"/>
    <w:rsid w:val="00194CA3"/>
    <w:rsid w:val="001D76E2"/>
    <w:rsid w:val="00280A00"/>
    <w:rsid w:val="002A5E96"/>
    <w:rsid w:val="002B2DB4"/>
    <w:rsid w:val="002E4724"/>
    <w:rsid w:val="002F15C1"/>
    <w:rsid w:val="00364E58"/>
    <w:rsid w:val="00374946"/>
    <w:rsid w:val="003B2F08"/>
    <w:rsid w:val="003E5BDA"/>
    <w:rsid w:val="004013EF"/>
    <w:rsid w:val="004B1099"/>
    <w:rsid w:val="004E34D1"/>
    <w:rsid w:val="00526A1D"/>
    <w:rsid w:val="005C11B0"/>
    <w:rsid w:val="005E4A5C"/>
    <w:rsid w:val="006665D4"/>
    <w:rsid w:val="00680DA0"/>
    <w:rsid w:val="006F356F"/>
    <w:rsid w:val="00740B35"/>
    <w:rsid w:val="007C4F63"/>
    <w:rsid w:val="008B6050"/>
    <w:rsid w:val="009045C1"/>
    <w:rsid w:val="00A66C6B"/>
    <w:rsid w:val="00A71940"/>
    <w:rsid w:val="00B1141D"/>
    <w:rsid w:val="00B308D8"/>
    <w:rsid w:val="00B85B02"/>
    <w:rsid w:val="00C4471B"/>
    <w:rsid w:val="00D477A5"/>
    <w:rsid w:val="00EC6001"/>
    <w:rsid w:val="00F252AE"/>
    <w:rsid w:val="00F44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4E3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4D1"/>
  </w:style>
  <w:style w:type="paragraph" w:styleId="Footer">
    <w:name w:val="footer"/>
    <w:basedOn w:val="Normal"/>
    <w:link w:val="FooterChar"/>
    <w:uiPriority w:val="99"/>
    <w:unhideWhenUsed/>
    <w:rsid w:val="004E3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4D1"/>
  </w:style>
  <w:style w:type="paragraph" w:styleId="ListParagraph">
    <w:name w:val="List Paragraph"/>
    <w:basedOn w:val="Normal"/>
    <w:uiPriority w:val="34"/>
    <w:qFormat/>
    <w:rsid w:val="004E3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imate.nasa.gov/news/3027/getting-to-the-heart-of-the-particulate-matt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a.gov/pm-pollution/particulate-matter-pm-basic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eq.ok.gov/wp-content/uploads/deqmainresources/ParticulateMatter_04-20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B5E939-3DCD-42A2-A676-52E27387491A}">
  <ds:schemaRef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d06b737b-b789-4524-96b5-d3d460658ae2"/>
    <ds:schemaRef ds:uri="966e68ee-ec3c-4f12-bd4f-fedbbec8de0b"/>
    <ds:schemaRef ds:uri="http://purl.org/dc/elements/1.1/"/>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239C824-5B57-4D6B-940E-D1131DC30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47282-FBFD-4852-8151-B6C4F2A50E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Factors</dc:title>
  <dc:creator>K20 Center</dc:creator>
  <cp:lastModifiedBy>Bigler, Elijah B.</cp:lastModifiedBy>
  <cp:revision>5</cp:revision>
  <dcterms:created xsi:type="dcterms:W3CDTF">2021-07-06T13:50:00Z</dcterms:created>
  <dcterms:modified xsi:type="dcterms:W3CDTF">2023-07-12T19:32:00Z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