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65278905" w:rsidR="00F53125" w:rsidRDefault="00440BDD">
      <w:pPr>
        <w:pStyle w:val="Title"/>
      </w:pPr>
      <w:r>
        <w:t>CLAIM-EVIDENCE-REASONING</w:t>
      </w:r>
    </w:p>
    <w:p w14:paraId="00000002" w14:textId="77777777" w:rsidR="00F53125" w:rsidRDefault="003A7FA2" w:rsidP="00A808E3">
      <w:pPr>
        <w:jc w:val="both"/>
      </w:pPr>
      <w:r>
        <w:t xml:space="preserve">Consider this question: </w:t>
      </w:r>
      <w:r>
        <w:rPr>
          <w:b/>
          <w:i/>
        </w:rPr>
        <w:t>“What differences in the photos of the two locations could influence human health?”</w:t>
      </w:r>
      <w:r>
        <w:t xml:space="preserve"> State your answer to the question as a claim statement in the first box of the chart. Use key words provided in the question as part of your claim.  Remember, never start a claim with “I think” or “I believe.” Next, use evidence from any or all the previous three lessons to support your claim. Evidence should be any appropriate scientific data, such as observations, statistics, etc. that will support your claim. Finally, add reasoning to explain how your evidence supports/connects to the claim. Sentence stems are provided below if you need help getting started.</w:t>
      </w:r>
    </w:p>
    <w:p w14:paraId="00000003" w14:textId="77777777" w:rsidR="00F53125" w:rsidRDefault="00F53125"/>
    <w:p w14:paraId="00000004" w14:textId="77777777" w:rsidR="00F53125" w:rsidRDefault="003A7FA2">
      <w:pPr>
        <w:rPr>
          <w:b/>
          <w:color w:val="910D28"/>
        </w:rPr>
      </w:pPr>
      <w:r>
        <w:rPr>
          <w:b/>
          <w:color w:val="910D28"/>
        </w:rPr>
        <w:t xml:space="preserve">Sentence starters for claim statements: </w:t>
      </w:r>
    </w:p>
    <w:p w14:paraId="00000005" w14:textId="77777777" w:rsidR="00F53125" w:rsidRDefault="003A7FA2">
      <w:pPr>
        <w:numPr>
          <w:ilvl w:val="0"/>
          <w:numId w:val="2"/>
        </w:numPr>
        <w:pBdr>
          <w:top w:val="nil"/>
          <w:left w:val="nil"/>
          <w:bottom w:val="nil"/>
          <w:right w:val="nil"/>
          <w:between w:val="nil"/>
        </w:pBdr>
        <w:spacing w:after="0"/>
      </w:pPr>
      <w:r>
        <w:rPr>
          <w:color w:val="000000"/>
        </w:rPr>
        <w:t>There is a strong correlation between ______ and ______.</w:t>
      </w:r>
    </w:p>
    <w:p w14:paraId="00000006" w14:textId="77777777" w:rsidR="00F53125" w:rsidRDefault="003A7FA2">
      <w:pPr>
        <w:numPr>
          <w:ilvl w:val="0"/>
          <w:numId w:val="2"/>
        </w:numPr>
        <w:pBdr>
          <w:top w:val="nil"/>
          <w:left w:val="nil"/>
          <w:bottom w:val="nil"/>
          <w:right w:val="nil"/>
          <w:between w:val="nil"/>
        </w:pBdr>
        <w:spacing w:after="0"/>
      </w:pPr>
      <w:r>
        <w:rPr>
          <w:color w:val="000000"/>
        </w:rPr>
        <w:t>There is a direct relationship between ______ and ______.</w:t>
      </w:r>
    </w:p>
    <w:p w14:paraId="00000007" w14:textId="77777777" w:rsidR="00F53125" w:rsidRDefault="003A7FA2">
      <w:pPr>
        <w:numPr>
          <w:ilvl w:val="0"/>
          <w:numId w:val="2"/>
        </w:numPr>
        <w:pBdr>
          <w:top w:val="nil"/>
          <w:left w:val="nil"/>
          <w:bottom w:val="nil"/>
          <w:right w:val="nil"/>
          <w:between w:val="nil"/>
        </w:pBdr>
      </w:pPr>
      <w:r>
        <w:rPr>
          <w:color w:val="000000"/>
        </w:rPr>
        <w:t>The effect of _____ on ______ is _______.</w:t>
      </w:r>
    </w:p>
    <w:p w14:paraId="00000008" w14:textId="77777777" w:rsidR="00F53125" w:rsidRDefault="003A7FA2">
      <w:pPr>
        <w:rPr>
          <w:b/>
          <w:color w:val="910D28"/>
        </w:rPr>
      </w:pPr>
      <w:r>
        <w:rPr>
          <w:b/>
          <w:color w:val="910D28"/>
        </w:rPr>
        <w:t>Sentence Stems for stating evidence:</w:t>
      </w:r>
    </w:p>
    <w:p w14:paraId="00000009" w14:textId="5D62F290" w:rsidR="00F53125" w:rsidRDefault="003A7FA2">
      <w:pPr>
        <w:numPr>
          <w:ilvl w:val="0"/>
          <w:numId w:val="4"/>
        </w:numPr>
        <w:pBdr>
          <w:top w:val="nil"/>
          <w:left w:val="nil"/>
          <w:bottom w:val="nil"/>
          <w:right w:val="nil"/>
          <w:between w:val="nil"/>
        </w:pBdr>
        <w:spacing w:after="0"/>
      </w:pPr>
      <w:r>
        <w:rPr>
          <w:color w:val="000000"/>
        </w:rPr>
        <w:t xml:space="preserve">According to the text/author/graphic, </w:t>
      </w:r>
      <w:proofErr w:type="gramStart"/>
      <w:r w:rsidR="00A27901">
        <w:rPr>
          <w:color w:val="000000"/>
        </w:rPr>
        <w:t>. . . .</w:t>
      </w:r>
      <w:proofErr w:type="gramEnd"/>
    </w:p>
    <w:p w14:paraId="0000000A" w14:textId="7692363F" w:rsidR="00F53125" w:rsidRDefault="003A7FA2">
      <w:pPr>
        <w:numPr>
          <w:ilvl w:val="0"/>
          <w:numId w:val="4"/>
        </w:numPr>
        <w:pBdr>
          <w:top w:val="nil"/>
          <w:left w:val="nil"/>
          <w:bottom w:val="nil"/>
          <w:right w:val="nil"/>
          <w:between w:val="nil"/>
        </w:pBdr>
        <w:spacing w:after="0"/>
      </w:pPr>
      <w:r>
        <w:rPr>
          <w:color w:val="000000"/>
        </w:rPr>
        <w:t>The photo/text/graphic shows</w:t>
      </w:r>
      <w:r w:rsidR="00A27901">
        <w:rPr>
          <w:color w:val="000000"/>
        </w:rPr>
        <w:t xml:space="preserve"> </w:t>
      </w:r>
      <w:proofErr w:type="gramStart"/>
      <w:r w:rsidR="00A27901">
        <w:rPr>
          <w:color w:val="000000"/>
        </w:rPr>
        <w:t>. . . .</w:t>
      </w:r>
      <w:proofErr w:type="gramEnd"/>
      <w:r w:rsidR="00A27901">
        <w:rPr>
          <w:color w:val="000000"/>
        </w:rPr>
        <w:t xml:space="preserve"> </w:t>
      </w:r>
    </w:p>
    <w:p w14:paraId="0000000B" w14:textId="2115A35E" w:rsidR="00F53125" w:rsidRDefault="003A7FA2">
      <w:pPr>
        <w:numPr>
          <w:ilvl w:val="0"/>
          <w:numId w:val="4"/>
        </w:numPr>
        <w:pBdr>
          <w:top w:val="nil"/>
          <w:left w:val="nil"/>
          <w:bottom w:val="nil"/>
          <w:right w:val="nil"/>
          <w:between w:val="nil"/>
        </w:pBdr>
        <w:spacing w:after="0"/>
      </w:pPr>
      <w:r>
        <w:rPr>
          <w:color w:val="000000"/>
        </w:rPr>
        <w:t>Based on observation of the photo,</w:t>
      </w:r>
      <w:r w:rsidR="00A27901">
        <w:rPr>
          <w:color w:val="000000"/>
        </w:rPr>
        <w:t xml:space="preserve"> </w:t>
      </w:r>
      <w:proofErr w:type="gramStart"/>
      <w:r w:rsidR="00A27901">
        <w:rPr>
          <w:color w:val="000000"/>
        </w:rPr>
        <w:t>. . . .</w:t>
      </w:r>
      <w:proofErr w:type="gramEnd"/>
      <w:r w:rsidR="00A27901">
        <w:rPr>
          <w:color w:val="000000"/>
        </w:rPr>
        <w:t xml:space="preserve"> </w:t>
      </w:r>
    </w:p>
    <w:p w14:paraId="0000000C" w14:textId="628D09D7" w:rsidR="00F53125" w:rsidRDefault="003A7FA2">
      <w:pPr>
        <w:numPr>
          <w:ilvl w:val="0"/>
          <w:numId w:val="4"/>
        </w:numPr>
        <w:pBdr>
          <w:top w:val="nil"/>
          <w:left w:val="nil"/>
          <w:bottom w:val="nil"/>
          <w:right w:val="nil"/>
          <w:between w:val="nil"/>
        </w:pBdr>
        <w:spacing w:after="0"/>
      </w:pPr>
      <w:r>
        <w:rPr>
          <w:color w:val="000000"/>
        </w:rPr>
        <w:t>The author wrote/stated/</w:t>
      </w:r>
      <w:proofErr w:type="gramStart"/>
      <w:r>
        <w:rPr>
          <w:color w:val="000000"/>
        </w:rPr>
        <w:t>shows</w:t>
      </w:r>
      <w:r w:rsidR="005C3F3C">
        <w:rPr>
          <w:color w:val="000000"/>
        </w:rPr>
        <w:t xml:space="preserve"> .</w:t>
      </w:r>
      <w:proofErr w:type="gramEnd"/>
      <w:r w:rsidR="005C3F3C">
        <w:rPr>
          <w:color w:val="000000"/>
        </w:rPr>
        <w:t xml:space="preserve"> .  . .</w:t>
      </w:r>
    </w:p>
    <w:p w14:paraId="0000000D" w14:textId="49DAA25E" w:rsidR="00F53125" w:rsidRDefault="003A7FA2">
      <w:pPr>
        <w:numPr>
          <w:ilvl w:val="0"/>
          <w:numId w:val="4"/>
        </w:numPr>
        <w:pBdr>
          <w:top w:val="nil"/>
          <w:left w:val="nil"/>
          <w:bottom w:val="nil"/>
          <w:right w:val="nil"/>
          <w:between w:val="nil"/>
        </w:pBdr>
      </w:pPr>
      <w:r>
        <w:rPr>
          <w:color w:val="000000"/>
        </w:rPr>
        <w:t>For example,</w:t>
      </w:r>
      <w:r w:rsidR="005C3F3C">
        <w:rPr>
          <w:color w:val="000000"/>
        </w:rPr>
        <w:t xml:space="preserve"> </w:t>
      </w:r>
      <w:proofErr w:type="gramStart"/>
      <w:r w:rsidR="005C3F3C">
        <w:rPr>
          <w:color w:val="000000"/>
        </w:rPr>
        <w:t>. . . .</w:t>
      </w:r>
      <w:proofErr w:type="gramEnd"/>
      <w:r w:rsidR="005C3F3C">
        <w:rPr>
          <w:color w:val="000000"/>
        </w:rPr>
        <w:t xml:space="preserve"> </w:t>
      </w:r>
    </w:p>
    <w:p w14:paraId="0000000E" w14:textId="77777777" w:rsidR="00F53125" w:rsidRDefault="003A7FA2">
      <w:pPr>
        <w:rPr>
          <w:b/>
          <w:color w:val="910D28"/>
        </w:rPr>
      </w:pPr>
      <w:r>
        <w:rPr>
          <w:b/>
          <w:color w:val="910D28"/>
        </w:rPr>
        <w:t>Sentence Stems for stating reasoning to connect evidence to claim:</w:t>
      </w:r>
    </w:p>
    <w:p w14:paraId="0000000F" w14:textId="18F91EAA" w:rsidR="00F53125" w:rsidRDefault="003A7FA2">
      <w:pPr>
        <w:numPr>
          <w:ilvl w:val="0"/>
          <w:numId w:val="1"/>
        </w:numPr>
        <w:pBdr>
          <w:top w:val="nil"/>
          <w:left w:val="nil"/>
          <w:bottom w:val="nil"/>
          <w:right w:val="nil"/>
          <w:between w:val="nil"/>
        </w:pBdr>
        <w:spacing w:after="0"/>
      </w:pPr>
      <w:r>
        <w:rPr>
          <w:color w:val="000000"/>
        </w:rPr>
        <w:t>This is important/significant because</w:t>
      </w:r>
      <w:r w:rsidR="005C3F3C">
        <w:rPr>
          <w:color w:val="000000"/>
        </w:rPr>
        <w:t xml:space="preserve"> </w:t>
      </w:r>
      <w:proofErr w:type="gramStart"/>
      <w:r w:rsidR="005C3F3C">
        <w:rPr>
          <w:color w:val="000000"/>
        </w:rPr>
        <w:t>. . . .</w:t>
      </w:r>
      <w:proofErr w:type="gramEnd"/>
      <w:r w:rsidR="005C3F3C">
        <w:rPr>
          <w:color w:val="000000"/>
        </w:rPr>
        <w:t xml:space="preserve"> </w:t>
      </w:r>
    </w:p>
    <w:p w14:paraId="00000010" w14:textId="4C7834E8" w:rsidR="00F53125" w:rsidRDefault="003A7FA2">
      <w:pPr>
        <w:numPr>
          <w:ilvl w:val="0"/>
          <w:numId w:val="1"/>
        </w:numPr>
        <w:pBdr>
          <w:top w:val="nil"/>
          <w:left w:val="nil"/>
          <w:bottom w:val="nil"/>
          <w:right w:val="nil"/>
          <w:between w:val="nil"/>
        </w:pBdr>
        <w:spacing w:after="0"/>
      </w:pPr>
      <w:r>
        <w:rPr>
          <w:color w:val="000000"/>
        </w:rPr>
        <w:t>This evidence shows/proves/demonstrates/suggests/confirms</w:t>
      </w:r>
      <w:r w:rsidR="005C3F3C">
        <w:rPr>
          <w:color w:val="000000"/>
        </w:rPr>
        <w:t xml:space="preserve"> </w:t>
      </w:r>
      <w:proofErr w:type="gramStart"/>
      <w:r w:rsidR="005C3F3C">
        <w:rPr>
          <w:color w:val="000000"/>
        </w:rPr>
        <w:t>. . . .</w:t>
      </w:r>
      <w:proofErr w:type="gramEnd"/>
      <w:r w:rsidR="005C3F3C">
        <w:rPr>
          <w:color w:val="000000"/>
        </w:rPr>
        <w:t xml:space="preserve"> </w:t>
      </w:r>
    </w:p>
    <w:p w14:paraId="00000011" w14:textId="14E88219" w:rsidR="00F53125" w:rsidRDefault="003A7FA2">
      <w:pPr>
        <w:numPr>
          <w:ilvl w:val="0"/>
          <w:numId w:val="1"/>
        </w:numPr>
        <w:pBdr>
          <w:top w:val="nil"/>
          <w:left w:val="nil"/>
          <w:bottom w:val="nil"/>
          <w:right w:val="nil"/>
          <w:between w:val="nil"/>
        </w:pBdr>
        <w:spacing w:after="0"/>
      </w:pPr>
      <w:r>
        <w:rPr>
          <w:color w:val="000000"/>
        </w:rPr>
        <w:t>Based on the evidence,</w:t>
      </w:r>
      <w:r w:rsidR="005C3F3C">
        <w:rPr>
          <w:color w:val="000000"/>
        </w:rPr>
        <w:t xml:space="preserve"> </w:t>
      </w:r>
      <w:proofErr w:type="gramStart"/>
      <w:r w:rsidR="005C3F3C">
        <w:rPr>
          <w:color w:val="000000"/>
        </w:rPr>
        <w:t>. . . .</w:t>
      </w:r>
      <w:proofErr w:type="gramEnd"/>
      <w:r w:rsidR="005C3F3C">
        <w:rPr>
          <w:color w:val="000000"/>
        </w:rPr>
        <w:t xml:space="preserve"> </w:t>
      </w:r>
    </w:p>
    <w:p w14:paraId="00000012" w14:textId="19086DAD" w:rsidR="00F53125" w:rsidRDefault="003A7FA2">
      <w:pPr>
        <w:numPr>
          <w:ilvl w:val="0"/>
          <w:numId w:val="1"/>
        </w:numPr>
        <w:pBdr>
          <w:top w:val="nil"/>
          <w:left w:val="nil"/>
          <w:bottom w:val="nil"/>
          <w:right w:val="nil"/>
          <w:between w:val="nil"/>
        </w:pBdr>
        <w:spacing w:after="0"/>
      </w:pPr>
      <w:r>
        <w:rPr>
          <w:color w:val="000000"/>
        </w:rPr>
        <w:t>All of this proves</w:t>
      </w:r>
      <w:r w:rsidR="005C3F3C">
        <w:rPr>
          <w:color w:val="000000"/>
        </w:rPr>
        <w:t xml:space="preserve"> </w:t>
      </w:r>
      <w:proofErr w:type="gramStart"/>
      <w:r w:rsidR="005C3F3C">
        <w:rPr>
          <w:color w:val="000000"/>
        </w:rPr>
        <w:t>. . . .</w:t>
      </w:r>
      <w:proofErr w:type="gramEnd"/>
      <w:r w:rsidR="005C3F3C">
        <w:rPr>
          <w:color w:val="000000"/>
        </w:rPr>
        <w:t xml:space="preserve"> </w:t>
      </w:r>
    </w:p>
    <w:p w14:paraId="00000013" w14:textId="6BDD8053" w:rsidR="00F53125" w:rsidRDefault="003A7FA2">
      <w:pPr>
        <w:numPr>
          <w:ilvl w:val="0"/>
          <w:numId w:val="1"/>
        </w:numPr>
        <w:pBdr>
          <w:top w:val="nil"/>
          <w:left w:val="nil"/>
          <w:bottom w:val="nil"/>
          <w:right w:val="nil"/>
          <w:between w:val="nil"/>
        </w:pBdr>
      </w:pPr>
      <w:r>
        <w:rPr>
          <w:color w:val="000000"/>
        </w:rPr>
        <w:t>The most logical conclusion we can draw from this evidence is</w:t>
      </w:r>
      <w:r w:rsidR="00647381">
        <w:rPr>
          <w:color w:val="000000"/>
        </w:rPr>
        <w:t xml:space="preserve"> </w:t>
      </w:r>
      <w:proofErr w:type="gramStart"/>
      <w:r w:rsidR="00647381">
        <w:rPr>
          <w:color w:val="000000"/>
        </w:rPr>
        <w:t>. . . .</w:t>
      </w:r>
      <w:proofErr w:type="gramEnd"/>
      <w:r w:rsidR="00647381">
        <w:rPr>
          <w:color w:val="000000"/>
        </w:rPr>
        <w:t xml:space="preserve"> </w:t>
      </w:r>
    </w:p>
    <w:p w14:paraId="00000014" w14:textId="77777777" w:rsidR="00F53125" w:rsidRDefault="003A7FA2">
      <w:pPr>
        <w:rPr>
          <w:b/>
          <w:color w:val="910D28"/>
        </w:rPr>
      </w:pPr>
      <w:r>
        <w:rPr>
          <w:b/>
          <w:color w:val="910D28"/>
        </w:rPr>
        <w:t>Transitions:</w:t>
      </w:r>
    </w:p>
    <w:p w14:paraId="00000015" w14:textId="77777777" w:rsidR="00F53125" w:rsidRDefault="003A7FA2">
      <w:pPr>
        <w:numPr>
          <w:ilvl w:val="0"/>
          <w:numId w:val="3"/>
        </w:numPr>
        <w:pBdr>
          <w:top w:val="nil"/>
          <w:left w:val="nil"/>
          <w:bottom w:val="nil"/>
          <w:right w:val="nil"/>
          <w:between w:val="nil"/>
        </w:pBdr>
        <w:spacing w:after="0"/>
      </w:pPr>
      <w:r>
        <w:rPr>
          <w:color w:val="000000"/>
        </w:rPr>
        <w:t>In addition,</w:t>
      </w:r>
    </w:p>
    <w:p w14:paraId="00000016" w14:textId="77777777" w:rsidR="00F53125" w:rsidRDefault="003A7FA2">
      <w:pPr>
        <w:numPr>
          <w:ilvl w:val="0"/>
          <w:numId w:val="3"/>
        </w:numPr>
        <w:pBdr>
          <w:top w:val="nil"/>
          <w:left w:val="nil"/>
          <w:bottom w:val="nil"/>
          <w:right w:val="nil"/>
          <w:between w:val="nil"/>
        </w:pBdr>
        <w:spacing w:after="0"/>
      </w:pPr>
      <w:r>
        <w:rPr>
          <w:color w:val="000000"/>
        </w:rPr>
        <w:t xml:space="preserve">In contrast, </w:t>
      </w:r>
    </w:p>
    <w:p w14:paraId="00000017" w14:textId="73D24F4B" w:rsidR="00F53125" w:rsidRDefault="003A7FA2">
      <w:pPr>
        <w:numPr>
          <w:ilvl w:val="0"/>
          <w:numId w:val="3"/>
        </w:numPr>
        <w:pBdr>
          <w:top w:val="nil"/>
          <w:left w:val="nil"/>
          <w:bottom w:val="nil"/>
          <w:right w:val="nil"/>
          <w:between w:val="nil"/>
        </w:pBdr>
        <w:spacing w:after="0"/>
      </w:pPr>
      <w:r>
        <w:rPr>
          <w:color w:val="000000"/>
        </w:rPr>
        <w:t>Another key point is</w:t>
      </w:r>
      <w:r w:rsidR="00647381">
        <w:rPr>
          <w:color w:val="000000"/>
        </w:rPr>
        <w:t xml:space="preserve"> </w:t>
      </w:r>
      <w:proofErr w:type="gramStart"/>
      <w:r w:rsidR="00647381">
        <w:rPr>
          <w:color w:val="000000"/>
        </w:rPr>
        <w:t>. . . .</w:t>
      </w:r>
      <w:proofErr w:type="gramEnd"/>
      <w:r w:rsidR="00647381">
        <w:rPr>
          <w:color w:val="000000"/>
        </w:rPr>
        <w:t xml:space="preserve"> </w:t>
      </w:r>
    </w:p>
    <w:p w14:paraId="00000018" w14:textId="77777777" w:rsidR="00F53125" w:rsidRDefault="003A7FA2">
      <w:pPr>
        <w:numPr>
          <w:ilvl w:val="0"/>
          <w:numId w:val="3"/>
        </w:numPr>
        <w:pBdr>
          <w:top w:val="nil"/>
          <w:left w:val="nil"/>
          <w:bottom w:val="nil"/>
          <w:right w:val="nil"/>
          <w:between w:val="nil"/>
        </w:pBdr>
        <w:spacing w:after="0"/>
      </w:pPr>
      <w:r>
        <w:rPr>
          <w:color w:val="000000"/>
        </w:rPr>
        <w:t>Consequently,</w:t>
      </w:r>
    </w:p>
    <w:p w14:paraId="00000019" w14:textId="77777777" w:rsidR="00F53125" w:rsidRDefault="003A7FA2">
      <w:pPr>
        <w:numPr>
          <w:ilvl w:val="0"/>
          <w:numId w:val="3"/>
        </w:numPr>
        <w:pBdr>
          <w:top w:val="nil"/>
          <w:left w:val="nil"/>
          <w:bottom w:val="nil"/>
          <w:right w:val="nil"/>
          <w:between w:val="nil"/>
        </w:pBdr>
        <w:spacing w:after="0"/>
      </w:pPr>
      <w:r>
        <w:rPr>
          <w:color w:val="000000"/>
        </w:rPr>
        <w:t>For instance,</w:t>
      </w:r>
    </w:p>
    <w:p w14:paraId="0000001A" w14:textId="77777777" w:rsidR="00F53125" w:rsidRDefault="003A7FA2">
      <w:pPr>
        <w:numPr>
          <w:ilvl w:val="0"/>
          <w:numId w:val="3"/>
        </w:numPr>
        <w:pBdr>
          <w:top w:val="nil"/>
          <w:left w:val="nil"/>
          <w:bottom w:val="nil"/>
          <w:right w:val="nil"/>
          <w:between w:val="nil"/>
        </w:pBdr>
      </w:pPr>
      <w:r>
        <w:rPr>
          <w:color w:val="000000"/>
        </w:rPr>
        <w:t>Similarly,</w:t>
      </w:r>
    </w:p>
    <w:p w14:paraId="0000001B" w14:textId="77777777" w:rsidR="00F53125" w:rsidRDefault="00F53125"/>
    <w:p w14:paraId="0000001C" w14:textId="77777777" w:rsidR="00F53125" w:rsidRDefault="00F53125"/>
    <w:tbl>
      <w:tblPr>
        <w:tblStyle w:val="a0"/>
        <w:tblW w:w="9342" w:type="dxa"/>
        <w:tblInd w:w="13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000" w:firstRow="0" w:lastRow="0" w:firstColumn="0" w:lastColumn="0" w:noHBand="0" w:noVBand="0"/>
      </w:tblPr>
      <w:tblGrid>
        <w:gridCol w:w="2110"/>
        <w:gridCol w:w="7232"/>
      </w:tblGrid>
      <w:tr w:rsidR="00F53125" w14:paraId="15AB58E3" w14:textId="77777777">
        <w:trPr>
          <w:trHeight w:val="2058"/>
        </w:trPr>
        <w:tc>
          <w:tcPr>
            <w:tcW w:w="2110" w:type="dxa"/>
            <w:shd w:val="clear" w:color="auto" w:fill="3E5C61"/>
          </w:tcPr>
          <w:p w14:paraId="0000001E" w14:textId="77777777" w:rsidR="00F53125" w:rsidRDefault="003A7FA2">
            <w:pPr>
              <w:pBdr>
                <w:top w:val="nil"/>
                <w:left w:val="nil"/>
                <w:bottom w:val="nil"/>
                <w:right w:val="nil"/>
                <w:between w:val="nil"/>
              </w:pBdr>
              <w:spacing w:before="121"/>
              <w:ind w:left="404" w:right="387"/>
              <w:jc w:val="center"/>
              <w:rPr>
                <w:b/>
                <w:color w:val="FFFFFF"/>
              </w:rPr>
            </w:pPr>
            <w:r>
              <w:rPr>
                <w:b/>
                <w:color w:val="FFFFFF"/>
              </w:rPr>
              <w:t>Claim</w:t>
            </w:r>
          </w:p>
          <w:p w14:paraId="0000001F" w14:textId="77777777" w:rsidR="00F53125" w:rsidRDefault="00F53125">
            <w:pPr>
              <w:pBdr>
                <w:top w:val="nil"/>
                <w:left w:val="nil"/>
                <w:bottom w:val="nil"/>
                <w:right w:val="nil"/>
                <w:between w:val="nil"/>
              </w:pBdr>
              <w:spacing w:before="121"/>
              <w:ind w:left="404" w:right="387"/>
              <w:jc w:val="center"/>
              <w:rPr>
                <w:b/>
                <w:color w:val="FFFFFF"/>
              </w:rPr>
            </w:pPr>
          </w:p>
        </w:tc>
        <w:tc>
          <w:tcPr>
            <w:tcW w:w="7232" w:type="dxa"/>
          </w:tcPr>
          <w:p w14:paraId="00000020" w14:textId="77777777" w:rsidR="00F53125" w:rsidRDefault="003A7FA2">
            <w:pPr>
              <w:pBdr>
                <w:top w:val="nil"/>
                <w:left w:val="nil"/>
                <w:bottom w:val="nil"/>
                <w:right w:val="nil"/>
                <w:between w:val="nil"/>
              </w:pBdr>
              <w:rPr>
                <w:color w:val="000000"/>
              </w:rPr>
            </w:pPr>
            <w:r>
              <w:rPr>
                <w:rFonts w:ascii="Times New Roman" w:eastAsia="Times New Roman" w:hAnsi="Times New Roman" w:cs="Times New Roman"/>
                <w:color w:val="000000"/>
                <w:sz w:val="26"/>
                <w:szCs w:val="26"/>
              </w:rPr>
              <w:t xml:space="preserve"> </w:t>
            </w:r>
            <w:r>
              <w:rPr>
                <w:color w:val="000000"/>
              </w:rPr>
              <w:t>Opinion Statement:</w:t>
            </w:r>
          </w:p>
        </w:tc>
      </w:tr>
      <w:tr w:rsidR="00F53125" w14:paraId="697DC7D7" w14:textId="77777777">
        <w:trPr>
          <w:trHeight w:val="4343"/>
        </w:trPr>
        <w:tc>
          <w:tcPr>
            <w:tcW w:w="2110" w:type="dxa"/>
            <w:shd w:val="clear" w:color="auto" w:fill="3E5C61"/>
          </w:tcPr>
          <w:p w14:paraId="00000021" w14:textId="77777777" w:rsidR="00F53125" w:rsidRDefault="003A7FA2">
            <w:pPr>
              <w:pBdr>
                <w:top w:val="nil"/>
                <w:left w:val="nil"/>
                <w:bottom w:val="nil"/>
                <w:right w:val="nil"/>
                <w:between w:val="nil"/>
              </w:pBdr>
              <w:spacing w:before="116"/>
              <w:ind w:left="404" w:right="386"/>
              <w:jc w:val="center"/>
              <w:rPr>
                <w:b/>
                <w:color w:val="000000"/>
              </w:rPr>
            </w:pPr>
            <w:r>
              <w:rPr>
                <w:b/>
                <w:color w:val="FFFFFF"/>
              </w:rPr>
              <w:t>Evidence</w:t>
            </w:r>
          </w:p>
        </w:tc>
        <w:tc>
          <w:tcPr>
            <w:tcW w:w="7232" w:type="dxa"/>
          </w:tcPr>
          <w:p w14:paraId="00000022" w14:textId="77777777" w:rsidR="00F53125" w:rsidRDefault="003A7FA2">
            <w:pPr>
              <w:pBdr>
                <w:top w:val="nil"/>
                <w:left w:val="nil"/>
                <w:bottom w:val="nil"/>
                <w:right w:val="nil"/>
                <w:between w:val="nil"/>
              </w:pBdr>
              <w:spacing w:before="116"/>
              <w:ind w:left="114"/>
              <w:rPr>
                <w:color w:val="000000"/>
              </w:rPr>
            </w:pPr>
            <w:r>
              <w:rPr>
                <w:color w:val="000000"/>
              </w:rPr>
              <w:t>Facts that support the claim:</w:t>
            </w:r>
          </w:p>
        </w:tc>
      </w:tr>
      <w:tr w:rsidR="00F53125" w14:paraId="196878F8" w14:textId="77777777">
        <w:trPr>
          <w:trHeight w:val="4633"/>
        </w:trPr>
        <w:tc>
          <w:tcPr>
            <w:tcW w:w="2110" w:type="dxa"/>
            <w:shd w:val="clear" w:color="auto" w:fill="3E5C61"/>
          </w:tcPr>
          <w:p w14:paraId="00000023" w14:textId="77777777" w:rsidR="00F53125" w:rsidRDefault="003A7FA2">
            <w:pPr>
              <w:pBdr>
                <w:top w:val="nil"/>
                <w:left w:val="nil"/>
                <w:bottom w:val="nil"/>
                <w:right w:val="nil"/>
                <w:between w:val="nil"/>
              </w:pBdr>
              <w:spacing w:before="116"/>
              <w:ind w:left="404" w:right="387"/>
              <w:jc w:val="center"/>
              <w:rPr>
                <w:b/>
                <w:color w:val="000000"/>
              </w:rPr>
            </w:pPr>
            <w:r>
              <w:rPr>
                <w:b/>
                <w:color w:val="FFFFFF"/>
              </w:rPr>
              <w:t>Reasoning</w:t>
            </w:r>
          </w:p>
        </w:tc>
        <w:tc>
          <w:tcPr>
            <w:tcW w:w="7232" w:type="dxa"/>
          </w:tcPr>
          <w:p w14:paraId="00000024" w14:textId="77777777" w:rsidR="00F53125" w:rsidRDefault="003A7FA2">
            <w:pPr>
              <w:pBdr>
                <w:top w:val="nil"/>
                <w:left w:val="nil"/>
                <w:bottom w:val="nil"/>
                <w:right w:val="nil"/>
                <w:between w:val="nil"/>
              </w:pBdr>
              <w:spacing w:before="116"/>
              <w:ind w:left="114"/>
              <w:rPr>
                <w:color w:val="000000"/>
              </w:rPr>
            </w:pPr>
            <w:r>
              <w:rPr>
                <w:color w:val="000000"/>
              </w:rPr>
              <w:t>Why or how the evidence supports the claim:</w:t>
            </w:r>
          </w:p>
        </w:tc>
      </w:tr>
    </w:tbl>
    <w:p w14:paraId="00000025" w14:textId="77777777" w:rsidR="00F53125" w:rsidRDefault="00F53125"/>
    <w:sectPr w:rsidR="00F531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F3ED" w14:textId="77777777" w:rsidR="00A152CC" w:rsidRDefault="003A7FA2">
      <w:pPr>
        <w:spacing w:after="0" w:line="240" w:lineRule="auto"/>
      </w:pPr>
      <w:r>
        <w:separator/>
      </w:r>
    </w:p>
  </w:endnote>
  <w:endnote w:type="continuationSeparator" w:id="0">
    <w:p w14:paraId="7765FEA8" w14:textId="77777777" w:rsidR="00A152CC" w:rsidRDefault="003A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A8BD" w14:textId="77777777" w:rsidR="00EA4825" w:rsidRDefault="00EA4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42954B2F" w:rsidR="00F53125" w:rsidRDefault="007052D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70F5DA21" wp14:editId="7A3A4717">
              <wp:simplePos x="0" y="0"/>
              <wp:positionH relativeFrom="column">
                <wp:posOffset>901700</wp:posOffset>
              </wp:positionH>
              <wp:positionV relativeFrom="paragraph">
                <wp:posOffset>-163195</wp:posOffset>
              </wp:positionV>
              <wp:extent cx="4235450" cy="285750"/>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0" y="0"/>
                        <a:ext cx="4235450" cy="285750"/>
                      </a:xfrm>
                      <a:prstGeom prst="rect">
                        <a:avLst/>
                      </a:prstGeom>
                      <a:noFill/>
                      <a:ln>
                        <a:noFill/>
                      </a:ln>
                    </wps:spPr>
                    <wps:txbx>
                      <w:txbxContent>
                        <w:p w14:paraId="6032C066" w14:textId="2B50052F" w:rsidR="00F53125" w:rsidRDefault="00EA4825">
                          <w:pPr>
                            <w:spacing w:after="0" w:line="240" w:lineRule="auto"/>
                            <w:jc w:val="right"/>
                            <w:textDirection w:val="btLr"/>
                          </w:pPr>
                          <w:r>
                            <w:rPr>
                              <w:rFonts w:ascii="Arial" w:eastAsia="Arial" w:hAnsi="Arial" w:cs="Arial"/>
                              <w:b/>
                              <w:smallCaps/>
                              <w:color w:val="2D2D2D"/>
                            </w:rPr>
                            <w:t>THE ROLE OF GREEN SPACES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F5DA21" id="_x0000_s1026" style="position:absolute;margin-left:71pt;margin-top:-12.85pt;width:333.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" filled="f" stroked="f">
              <v:textbox inset="2.53958mm,1.2694mm,2.53958mm,1.2694mm">
                <w:txbxContent>
                  <w:p w14:paraId="6032C066" w14:textId="2B50052F" w:rsidR="00F53125" w:rsidRDefault="00EA4825">
                    <w:pPr>
                      <w:spacing w:after="0" w:line="240" w:lineRule="auto"/>
                      <w:jc w:val="right"/>
                      <w:textDirection w:val="btLr"/>
                    </w:pPr>
                    <w:r>
                      <w:rPr>
                        <w:rFonts w:ascii="Arial" w:eastAsia="Arial" w:hAnsi="Arial" w:cs="Arial"/>
                        <w:b/>
                        <w:smallCaps/>
                        <w:color w:val="2D2D2D"/>
                      </w:rPr>
                      <w:t>THE ROLE OF GREEN SPACES</w:t>
                    </w:r>
                  </w:p>
                </w:txbxContent>
              </v:textbox>
              <w10:wrap type="square"/>
            </v:rect>
          </w:pict>
        </mc:Fallback>
      </mc:AlternateContent>
    </w:r>
    <w:r w:rsidR="003A7FA2">
      <w:rPr>
        <w:noProof/>
      </w:rPr>
      <w:drawing>
        <wp:anchor distT="0" distB="0" distL="0" distR="0" simplePos="0" relativeHeight="251657216" behindDoc="0" locked="0" layoutInCell="1" hidden="0" allowOverlap="1" wp14:anchorId="5C457DBE" wp14:editId="59EC1B00">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1170" w14:textId="77777777" w:rsidR="00EA4825" w:rsidRDefault="00EA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8F0E" w14:textId="77777777" w:rsidR="00A152CC" w:rsidRDefault="003A7FA2">
      <w:pPr>
        <w:spacing w:after="0" w:line="240" w:lineRule="auto"/>
      </w:pPr>
      <w:r>
        <w:separator/>
      </w:r>
    </w:p>
  </w:footnote>
  <w:footnote w:type="continuationSeparator" w:id="0">
    <w:p w14:paraId="55B53AB5" w14:textId="77777777" w:rsidR="00A152CC" w:rsidRDefault="003A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0908" w14:textId="77777777" w:rsidR="00EA4825" w:rsidRDefault="00EA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61BD" w14:textId="77777777" w:rsidR="00EA4825" w:rsidRDefault="00EA4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0337" w14:textId="77777777" w:rsidR="00EA4825" w:rsidRDefault="00EA4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0F1"/>
    <w:multiLevelType w:val="multilevel"/>
    <w:tmpl w:val="96A83B6A"/>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6A1768"/>
    <w:multiLevelType w:val="multilevel"/>
    <w:tmpl w:val="4B08C6DC"/>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53518A"/>
    <w:multiLevelType w:val="multilevel"/>
    <w:tmpl w:val="DFE04B24"/>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770245"/>
    <w:multiLevelType w:val="multilevel"/>
    <w:tmpl w:val="826607D0"/>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5273887">
    <w:abstractNumId w:val="1"/>
  </w:num>
  <w:num w:numId="2" w16cid:durableId="1472669849">
    <w:abstractNumId w:val="2"/>
  </w:num>
  <w:num w:numId="3" w16cid:durableId="1636445264">
    <w:abstractNumId w:val="0"/>
  </w:num>
  <w:num w:numId="4" w16cid:durableId="1162620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25"/>
    <w:rsid w:val="003A7FA2"/>
    <w:rsid w:val="00440BDD"/>
    <w:rsid w:val="005C3F3C"/>
    <w:rsid w:val="00647381"/>
    <w:rsid w:val="007052D7"/>
    <w:rsid w:val="00A152CC"/>
    <w:rsid w:val="00A27901"/>
    <w:rsid w:val="00A808E3"/>
    <w:rsid w:val="00EA4825"/>
    <w:rsid w:val="00F5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81840"/>
  <w15:docId w15:val="{907C0B7E-4026-401F-87BF-C5C5FB3B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B72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14"/>
  </w:style>
  <w:style w:type="paragraph" w:styleId="Footer">
    <w:name w:val="footer"/>
    <w:basedOn w:val="Normal"/>
    <w:link w:val="FooterChar"/>
    <w:uiPriority w:val="99"/>
    <w:unhideWhenUsed/>
    <w:rsid w:val="00B72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14"/>
  </w:style>
  <w:style w:type="paragraph" w:styleId="ListParagraph">
    <w:name w:val="List Paragraph"/>
    <w:basedOn w:val="Normal"/>
    <w:uiPriority w:val="34"/>
    <w:qFormat/>
    <w:rsid w:val="003D31A1"/>
    <w:pPr>
      <w:ind w:left="720"/>
      <w:contextualSpacing/>
    </w:p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LRpXFQ9qQbH0HGGZ7l46cm1NGFw==">AMUW2mWP7+c4uTGJ2DOhbzoOmOfRbp6wVhOEZdSA7Th/10pQ/dH3cLm6vcSStbKO/+sWQ078aEVpKmWYybKDHXRzRIxmlBJ2wK5P12mL/WKBZX9DyvBKAds=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950E3-290E-41BD-B4C5-CD7B4F20F634}">
  <ds:schemaRefs>
    <ds:schemaRef ds:uri="http://schemas.microsoft.com/sharepoint/v3/contenttype/forms"/>
  </ds:schemaRefs>
</ds:datastoreItem>
</file>

<file path=customXml/itemProps2.xml><?xml version="1.0" encoding="utf-8"?>
<ds:datastoreItem xmlns:ds="http://schemas.openxmlformats.org/officeDocument/2006/customXml" ds:itemID="{F591AE2C-E01E-472D-9B6A-240B2D203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485993F9-D63C-4E3E-9B4D-0C87C3BAAC16}">
  <ds:schemaRefs>
    <ds:schemaRef ds:uri="d06b737b-b789-4524-96b5-d3d460658ae2"/>
    <ds:schemaRef ds:uri="http://schemas.openxmlformats.org/package/2006/metadata/core-properties"/>
    <ds:schemaRef ds:uri="966e68ee-ec3c-4f12-bd4f-fedbbec8de0b"/>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Green Spaces</dc:title>
  <dc:creator>K20 Center</dc:creator>
  <cp:lastModifiedBy>Bigler, Elijah B.</cp:lastModifiedBy>
  <cp:revision>4</cp:revision>
  <dcterms:created xsi:type="dcterms:W3CDTF">2021-07-06T22:03:00Z</dcterms:created>
  <dcterms:modified xsi:type="dcterms:W3CDTF">2023-07-13T15:11:00Z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