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4A1DD4CA" w:rsidR="007C4F63" w:rsidRDefault="006A724A">
      <w:pPr>
        <w:pStyle w:val="Title"/>
      </w:pPr>
      <w:r>
        <w:rPr>
          <w:bCs/>
          <w:lang w:val="es"/>
        </w:rPr>
        <w:t xml:space="preserve">RÚBRICA DE LA PROPUESTA </w:t>
      </w:r>
    </w:p>
    <w:tbl>
      <w:tblPr>
        <w:tblStyle w:val="a"/>
        <w:tblW w:w="9375" w:type="dxa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875"/>
        <w:gridCol w:w="1875"/>
        <w:gridCol w:w="1875"/>
        <w:gridCol w:w="1875"/>
      </w:tblGrid>
      <w:tr w:rsidR="006A724A" w14:paraId="63E539DE" w14:textId="77777777" w:rsidTr="00FC6BA7">
        <w:trPr>
          <w:trHeight w:val="5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3BCD" w14:textId="77777777" w:rsidR="006A724A" w:rsidRDefault="006A724A" w:rsidP="00FC6BA7">
            <w:pPr>
              <w:widowControl w:val="0"/>
              <w:rPr>
                <w:color w:val="FFFFFF"/>
              </w:rPr>
            </w:pPr>
            <w:r>
              <w:rPr>
                <w:color w:val="FFFFFF"/>
                <w:lang w:val="es"/>
              </w:rPr>
              <w:t>CATEGORÍA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AA16E5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4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3D0691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3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31A511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2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966673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1</w:t>
            </w:r>
          </w:p>
        </w:tc>
      </w:tr>
      <w:tr w:rsidR="006A724A" w14:paraId="54E570F4" w14:textId="77777777" w:rsidTr="00FC6BA7">
        <w:trPr>
          <w:trHeight w:val="145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9EFA8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bCs/>
                <w:color w:val="821F2E"/>
                <w:lang w:val="es"/>
              </w:rPr>
              <w:t>Investigación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037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grupo investigó el tema e integró 3 o más artefactos de lecciones anteriores.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6A0E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grupo investigó el tema e integró 2 artefactos de lecciones anteriores.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910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grupo investigó el tema e integró 1 artefacto de las lecciones anteriores.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694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O bien no se investigó o no se incluyeron artefactos.</w:t>
            </w:r>
          </w:p>
        </w:tc>
      </w:tr>
      <w:tr w:rsidR="006A724A" w14:paraId="2274E0A9" w14:textId="77777777" w:rsidTr="00FC6BA7">
        <w:trPr>
          <w:trHeight w:val="12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B2845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bCs/>
                <w:color w:val="821F2E"/>
                <w:lang w:val="es"/>
              </w:rPr>
              <w:t>Precisión de los hechos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9A8F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Todos los datos de apoyo se informan con precisión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4254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Casi todos los hechos se informan con precisión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88EC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Pocos hechos se informan con precisión.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C20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No se informan los hechos con precisión O no se informan los hechos.</w:t>
            </w:r>
          </w:p>
        </w:tc>
      </w:tr>
      <w:tr w:rsidR="006A724A" w14:paraId="607B6A73" w14:textId="77777777" w:rsidTr="00FC6BA7">
        <w:trPr>
          <w:trHeight w:val="159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B83DD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bCs/>
                <w:color w:val="821F2E"/>
                <w:lang w:val="es"/>
              </w:rPr>
              <w:t>Gráficas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B8A3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Las gráficas incluyen algún material original y están claramente relacionadas con el material que se presenta.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08BB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Las gráficas están claramente relacionadas con el material que se presenta, pero ninguna es original.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944C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Las gráficas incluyen algo de material original, pero solo guardan cierta relación con el material que se presenta.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0173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Las gráficas no están relacionadas con el material que se presenta.</w:t>
            </w:r>
          </w:p>
        </w:tc>
      </w:tr>
      <w:tr w:rsidR="006A724A" w14:paraId="7141C8D6" w14:textId="77777777" w:rsidTr="00FC6BA7">
        <w:trPr>
          <w:trHeight w:val="160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F972A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bCs/>
                <w:color w:val="821F2E"/>
                <w:lang w:val="es"/>
              </w:rPr>
              <w:t>Punto de vista - Propósito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1AD8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La propuesta establece un propósito al principio y mantiene ese enfoque durante todo el proceso.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C29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Establece un propósito al principio, pero ocasionalmente se desvía de ese enfoque.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C079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propósito está algo claro, pero muchos aspectos de la propuesta parecen estar poco relacionados.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9C7B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Fue difícil entender el propósito de la propuesta.</w:t>
            </w:r>
          </w:p>
        </w:tc>
      </w:tr>
      <w:tr w:rsidR="006A724A" w14:paraId="5DEE06A7" w14:textId="77777777" w:rsidTr="00FC6BA7">
        <w:trPr>
          <w:trHeight w:val="1605"/>
        </w:trPr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B5C1" w14:textId="77777777" w:rsidR="006A724A" w:rsidRDefault="006A724A" w:rsidP="00FC6BA7">
            <w:pPr>
              <w:widowControl w:val="0"/>
              <w:spacing w:before="240" w:after="240"/>
              <w:rPr>
                <w:b/>
                <w:color w:val="821F2E"/>
              </w:rPr>
            </w:pPr>
            <w:r>
              <w:rPr>
                <w:b/>
                <w:bCs/>
                <w:color w:val="821F2E"/>
                <w:lang w:val="es"/>
              </w:rPr>
              <w:t>Presentación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51E7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Utiliza la información de las diapositivas como pistas para la narración.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EBE0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El estudiante lee el texto y lo elabora cómodamente.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CBDC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Lee el texto y añade algunos comentarios originales.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AED0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Solo lee el texto.</w:t>
            </w:r>
          </w:p>
        </w:tc>
      </w:tr>
      <w:tr w:rsidR="006A724A" w14:paraId="52AF5EEC" w14:textId="77777777" w:rsidTr="00FC6BA7">
        <w:trPr>
          <w:trHeight w:val="2390"/>
        </w:trPr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20B24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bCs/>
                <w:color w:val="821F2E"/>
                <w:lang w:val="es"/>
              </w:rPr>
              <w:t>Trabajo en grupo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1FB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 xml:space="preserve">El grupo funcionó excepcionalmente bien. Todos los miembros escucharon, compartieron y apoyaron los esfuerzos de los demás. El grupo (todos los miembros) estuvo casi siempre en la tarea.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C62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 xml:space="preserve">El grupo funcionó bastante bien. La mayoría de los miembros escucharon, compartieron y apoyaron los esfuerzos de los demás. El grupo (todos los miembros) estuvo casi siempre en la tarea.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F772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 xml:space="preserve">El grupo funcionó bastante bien, pero estuvo dominado por uno o dos miembros. El grupo (todos los miembros) estuvo casi siempre en la tarea.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C77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Algunos miembros del grupo a menudo se salían de la tarea Y/O eran abiertamente irrespetuosos con los demás en el grupo Y/O eran típicamente ignorados por otros miembros del grupo.</w:t>
            </w:r>
          </w:p>
        </w:tc>
      </w:tr>
    </w:tbl>
    <w:p w14:paraId="75792B76" w14:textId="77777777" w:rsidR="006A724A" w:rsidRPr="006A724A" w:rsidRDefault="006A724A" w:rsidP="006A724A"/>
    <w:sectPr w:rsidR="006A724A" w:rsidRPr="006A72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76A9" w14:textId="77777777" w:rsidR="00DC7154" w:rsidRDefault="00DC7154">
      <w:pPr>
        <w:spacing w:after="0" w:line="240" w:lineRule="auto"/>
      </w:pPr>
      <w:r>
        <w:separator/>
      </w:r>
    </w:p>
  </w:endnote>
  <w:endnote w:type="continuationSeparator" w:id="0">
    <w:p w14:paraId="4E911C1F" w14:textId="77777777" w:rsidR="00DC7154" w:rsidRDefault="00DC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1B9C921B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7AC3B9CA" w:rsidR="007C4F63" w:rsidRDefault="006E6EB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COMPARING COMMUNITIES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7AC3B9CA" w:rsidR="007C4F63" w:rsidRDefault="006E6EB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COMPARING COMMUNITIES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7482" w14:textId="77777777" w:rsidR="00DC7154" w:rsidRDefault="00DC7154">
      <w:pPr>
        <w:spacing w:after="0" w:line="240" w:lineRule="auto"/>
      </w:pPr>
      <w:r>
        <w:separator/>
      </w:r>
    </w:p>
  </w:footnote>
  <w:footnote w:type="continuationSeparator" w:id="0">
    <w:p w14:paraId="682C628D" w14:textId="77777777" w:rsidR="00DC7154" w:rsidRDefault="00DC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7A18" w14:textId="1959F900" w:rsidR="006A724A" w:rsidRPr="006A724A" w:rsidRDefault="006A724A">
    <w:pPr>
      <w:pStyle w:val="Header"/>
      <w:rPr>
        <w:b/>
        <w:bCs/>
        <w:color w:val="632423" w:themeColor="accent2" w:themeShade="80"/>
        <w:sz w:val="28"/>
        <w:szCs w:val="28"/>
      </w:rPr>
    </w:pPr>
    <w:r>
      <w:rPr>
        <w:b/>
        <w:bCs/>
        <w:color w:val="632423" w:themeColor="accent2" w:themeShade="80"/>
        <w:sz w:val="28"/>
        <w:szCs w:val="28"/>
        <w:lang w:val="es"/>
      </w:rPr>
      <w:t xml:space="preserve">¿Por qué vemos tasas más elevadas de asma en las comunidades de color? </w:t>
    </w:r>
  </w:p>
  <w:p w14:paraId="7648942B" w14:textId="77777777" w:rsidR="006A724A" w:rsidRDefault="006A7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6482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134F83"/>
    <w:rsid w:val="00280A00"/>
    <w:rsid w:val="006A724A"/>
    <w:rsid w:val="006E6EB4"/>
    <w:rsid w:val="007C4F63"/>
    <w:rsid w:val="00A66C6B"/>
    <w:rsid w:val="00DC4BE3"/>
    <w:rsid w:val="00DC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24A"/>
  </w:style>
  <w:style w:type="paragraph" w:styleId="Footer">
    <w:name w:val="footer"/>
    <w:basedOn w:val="Normal"/>
    <w:link w:val="Foot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Communities</dc:title>
  <dc:creator>K20 Center</dc:creator>
  <cp:lastModifiedBy>Bigler, Elijah B.</cp:lastModifiedBy>
  <cp:revision>3</cp:revision>
  <dcterms:created xsi:type="dcterms:W3CDTF">2021-07-07T18:19:00Z</dcterms:created>
  <dcterms:modified xsi:type="dcterms:W3CDTF">2023-07-13T15:51:00Z</dcterms:modified>
</cp:coreProperties>
</file>