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B306D9" w14:textId="6CA2FE69" w:rsidR="00894AB4" w:rsidRPr="001872E7" w:rsidRDefault="00E215B0" w:rsidP="00894AB4">
      <w:pPr>
        <w:pStyle w:val="Title"/>
      </w:pPr>
      <w:r>
        <w:t>timeline of the chinese exclusion act</w:t>
      </w:r>
    </w:p>
    <w:p w14:paraId="2B792F0F" w14:textId="7193C47B" w:rsidR="00894AB4" w:rsidRDefault="00E215B0" w:rsidP="00894AB4">
      <w:pPr>
        <w:pStyle w:val="Heading1"/>
      </w:pPr>
      <w:r>
        <w:t>CHINESE IMMIGRATION TO THE U.S.</w:t>
      </w:r>
    </w:p>
    <w:p w14:paraId="537A3A39" w14:textId="77777777" w:rsidR="00E215B0" w:rsidRPr="00E215B0" w:rsidRDefault="00E215B0" w:rsidP="00E215B0">
      <w:pPr>
        <w:numPr>
          <w:ilvl w:val="0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(1839-42, 1856-60)</w:t>
      </w:r>
    </w:p>
    <w:p w14:paraId="13186C6F" w14:textId="5476F8FD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The Opium Wars waged in China for years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,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leaving the country devastated physically and with 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huge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debt. Following the war, China suffered from a 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series of weather phenomena, ranging from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>period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s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 of 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severe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drought to a wave of floods leading to an exodus of Chinese farmers looking for a new start. </w:t>
      </w:r>
    </w:p>
    <w:p w14:paraId="2B049BFE" w14:textId="77777777" w:rsidR="00E215B0" w:rsidRPr="00E215B0" w:rsidRDefault="00E215B0" w:rsidP="00E215B0">
      <w:pPr>
        <w:numPr>
          <w:ilvl w:val="0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1848</w:t>
      </w:r>
    </w:p>
    <w:p w14:paraId="6AE1258E" w14:textId="733ADF7E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Gold is discovered in California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 leading to an increase in Chinese immigration into the United States to pursue opportunities provided by the gold rush.</w:t>
      </w:r>
    </w:p>
    <w:p w14:paraId="5A6AA0F6" w14:textId="053606E7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The U.S. sees its first large wave of Chinese migration. As immigration continues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,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>tensions between white miners and the Chinese increased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 leading to violence against the Chinese miners, much of it being racially charged.</w:t>
      </w:r>
    </w:p>
    <w:p w14:paraId="47ADD841" w14:textId="77777777" w:rsidR="00E215B0" w:rsidRPr="00E215B0" w:rsidRDefault="00E215B0" w:rsidP="00E215B0">
      <w:pPr>
        <w:numPr>
          <w:ilvl w:val="0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1852</w:t>
      </w:r>
    </w:p>
    <w:p w14:paraId="734E1C1D" w14:textId="04B3828B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California passed a “Foreign Miners Tax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” charging $3 a month meant to target the Chinese miners. </w:t>
      </w:r>
    </w:p>
    <w:p w14:paraId="169970F6" w14:textId="77777777" w:rsidR="00E215B0" w:rsidRPr="00E215B0" w:rsidRDefault="00E215B0" w:rsidP="00E215B0">
      <w:pPr>
        <w:numPr>
          <w:ilvl w:val="0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1854</w:t>
      </w:r>
    </w:p>
    <w:p w14:paraId="178F3A8D" w14:textId="464BA378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The Supreme Court Case, People v. Hall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 ruled that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,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>like African Americans and Native Americans, the Chinese were not allowed to testify in court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 thus, m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aking justice against hate crimes impossible to pursue. </w:t>
      </w:r>
    </w:p>
    <w:p w14:paraId="6CC5FB00" w14:textId="77777777" w:rsidR="00E215B0" w:rsidRPr="00E215B0" w:rsidRDefault="00E215B0" w:rsidP="00E215B0">
      <w:pPr>
        <w:numPr>
          <w:ilvl w:val="0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1870</w:t>
      </w:r>
    </w:p>
    <w:p w14:paraId="023B2FA8" w14:textId="783E3B3A" w:rsidR="00E215B0" w:rsidRPr="00E215B0" w:rsidRDefault="00E215B0" w:rsidP="00E215B0">
      <w:pPr>
        <w:numPr>
          <w:ilvl w:val="1"/>
          <w:numId w:val="16"/>
        </w:numPr>
        <w:spacing w:after="0"/>
        <w:rPr>
          <w:rFonts w:ascii="Calibri" w:eastAsia="Calibri" w:hAnsi="Calibri" w:cs="Calibri"/>
          <w:sz w:val="20"/>
          <w:szCs w:val="20"/>
          <w:lang w:val="en"/>
        </w:rPr>
      </w:pPr>
      <w:r w:rsidRPr="00E215B0">
        <w:rPr>
          <w:rFonts w:ascii="Calibri" w:eastAsia="Calibri" w:hAnsi="Calibri" w:cs="Calibri"/>
          <w:sz w:val="20"/>
          <w:szCs w:val="20"/>
          <w:lang w:val="en"/>
        </w:rPr>
        <w:t>By this time, the Foreign Miners Tax had accumulated over $5 million dollars for the state of California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 xml:space="preserve">; 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>meanwhile</w:t>
      </w:r>
      <w:r w:rsidR="000607BC">
        <w:rPr>
          <w:rFonts w:ascii="Calibri" w:eastAsia="Calibri" w:hAnsi="Calibri" w:cs="Calibri"/>
          <w:sz w:val="20"/>
          <w:szCs w:val="20"/>
          <w:lang w:val="en"/>
        </w:rPr>
        <w:t>,</w:t>
      </w:r>
      <w:r w:rsidRPr="00E215B0">
        <w:rPr>
          <w:rFonts w:ascii="Calibri" w:eastAsia="Calibri" w:hAnsi="Calibri" w:cs="Calibri"/>
          <w:sz w:val="20"/>
          <w:szCs w:val="20"/>
          <w:lang w:val="en"/>
        </w:rPr>
        <w:t xml:space="preserve"> Chinese immigrants still faced discrimination and hate crimes.</w:t>
      </w:r>
    </w:p>
    <w:tbl>
      <w:tblPr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025"/>
      </w:tblGrid>
      <w:tr w:rsidR="00E215B0" w:rsidRPr="00E215B0" w14:paraId="149F56DE" w14:textId="77777777" w:rsidTr="005958E0">
        <w:trPr>
          <w:trHeight w:val="3030"/>
        </w:trPr>
        <w:tc>
          <w:tcPr>
            <w:tcW w:w="13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EEDD" w14:textId="77777777" w:rsidR="00E215B0" w:rsidRPr="00E215B0" w:rsidRDefault="00E215B0" w:rsidP="00E215B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  <w:lang w:val="en"/>
              </w:rPr>
            </w:pPr>
            <w:r w:rsidRPr="00E215B0">
              <w:rPr>
                <w:rFonts w:ascii="Arial" w:eastAsia="Arial" w:hAnsi="Arial" w:cs="Arial"/>
                <w:noProof/>
                <w:sz w:val="22"/>
                <w:lang w:val="en"/>
              </w:rPr>
              <w:drawing>
                <wp:anchor distT="0" distB="0" distL="0" distR="0" simplePos="0" relativeHeight="251659264" behindDoc="0" locked="0" layoutInCell="1" hidden="0" allowOverlap="1" wp14:anchorId="3FD43C59" wp14:editId="4C1BE79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614363" cy="614363"/>
                  <wp:effectExtent l="0" t="0" r="0" b="0"/>
                  <wp:wrapSquare wrapText="bothSides" distT="0" distB="0" distL="0" distR="0"/>
                  <wp:docPr id="2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Ico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5BEC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color w:val="3E5C61"/>
                <w:sz w:val="28"/>
                <w:szCs w:val="28"/>
                <w:lang w:val="en"/>
              </w:rPr>
            </w:pPr>
            <w:r w:rsidRPr="00E215B0"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  <w:lang w:val="en"/>
              </w:rPr>
              <w:t xml:space="preserve">Stop and Jot </w:t>
            </w:r>
            <w:r w:rsidRPr="00E215B0">
              <w:rPr>
                <w:rFonts w:ascii="Calibri" w:eastAsia="Calibri" w:hAnsi="Calibri" w:cs="Calibri"/>
                <w:i/>
                <w:color w:val="3E5C61"/>
                <w:sz w:val="28"/>
                <w:szCs w:val="28"/>
                <w:lang w:val="en"/>
              </w:rPr>
              <w:t xml:space="preserve">your summary of the events so far: </w:t>
            </w:r>
          </w:p>
          <w:p w14:paraId="782229B9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51A798DD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25A03D77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0F62B648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58F79689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2D56F052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7B4E3880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  <w:p w14:paraId="02DA87FB" w14:textId="77777777" w:rsidR="00E215B0" w:rsidRPr="00E215B0" w:rsidRDefault="00E215B0" w:rsidP="00E215B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3E5C61"/>
                <w:szCs w:val="24"/>
                <w:lang w:val="en"/>
              </w:rPr>
            </w:pPr>
          </w:p>
        </w:tc>
      </w:tr>
    </w:tbl>
    <w:p w14:paraId="3CB72333" w14:textId="0D8A8F6E" w:rsidR="00E215B0" w:rsidRPr="00E215B0" w:rsidRDefault="00E215B0" w:rsidP="00E215B0">
      <w:pPr>
        <w:rPr>
          <w:rFonts w:ascii="Calibri" w:eastAsia="Calibri" w:hAnsi="Calibri" w:cs="Calibri"/>
          <w:b/>
          <w:color w:val="980000"/>
          <w:szCs w:val="24"/>
        </w:rPr>
      </w:pPr>
      <w:r>
        <w:rPr>
          <w:rFonts w:ascii="Calibri" w:eastAsia="Calibri" w:hAnsi="Calibri" w:cs="Calibri"/>
          <w:b/>
          <w:color w:val="980000"/>
          <w:szCs w:val="24"/>
        </w:rPr>
        <w:t>THE CHINESE EXCLUSION ACT</w:t>
      </w:r>
    </w:p>
    <w:p w14:paraId="46307EC6" w14:textId="2049726A" w:rsidR="00E215B0" w:rsidRPr="00E215B0" w:rsidRDefault="00E215B0" w:rsidP="00E215B0">
      <w:pPr>
        <w:pStyle w:val="ListParagraph"/>
        <w:numPr>
          <w:ilvl w:val="0"/>
          <w:numId w:val="18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E215B0">
        <w:rPr>
          <w:rFonts w:ascii="Calibri" w:eastAsia="Calibri" w:hAnsi="Calibri" w:cs="Calibri"/>
          <w:sz w:val="20"/>
          <w:szCs w:val="20"/>
        </w:rPr>
        <w:t>1882</w:t>
      </w:r>
    </w:p>
    <w:p w14:paraId="4D7C5174" w14:textId="49FD8BC4" w:rsidR="00E215B0" w:rsidRDefault="00E215B0" w:rsidP="000607BC">
      <w:pPr>
        <w:numPr>
          <w:ilvl w:val="1"/>
          <w:numId w:val="19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President Chester A. Arthur signed into law the Chinese Exclusion Act</w:t>
      </w:r>
      <w:r w:rsidR="000607BC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 xml:space="preserve">meant to curb the influx of </w:t>
      </w:r>
      <w:r w:rsidR="000607BC">
        <w:rPr>
          <w:rFonts w:ascii="Calibri" w:eastAsia="Calibri" w:hAnsi="Calibri" w:cs="Calibri"/>
          <w:sz w:val="20"/>
          <w:szCs w:val="20"/>
        </w:rPr>
        <w:t xml:space="preserve">Chinese </w:t>
      </w:r>
      <w:r>
        <w:rPr>
          <w:rFonts w:ascii="Calibri" w:eastAsia="Calibri" w:hAnsi="Calibri" w:cs="Calibri"/>
          <w:sz w:val="20"/>
          <w:szCs w:val="20"/>
        </w:rPr>
        <w:t xml:space="preserve">immigration into California and the U.S. </w:t>
      </w:r>
    </w:p>
    <w:p w14:paraId="354DB066" w14:textId="1AA11725" w:rsidR="00217826" w:rsidRDefault="00E215B0" w:rsidP="000607BC">
      <w:pPr>
        <w:numPr>
          <w:ilvl w:val="1"/>
          <w:numId w:val="19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act suspended Chinese immigration for 10 years and made those already in the country ineligible for naturalization. </w:t>
      </w:r>
    </w:p>
    <w:p w14:paraId="3101B0EC" w14:textId="77777777" w:rsidR="00217826" w:rsidRDefault="00217826" w:rsidP="00217826">
      <w:pPr>
        <w:pStyle w:val="BodyText"/>
      </w:pPr>
      <w:r>
        <w:br w:type="page"/>
      </w:r>
    </w:p>
    <w:p w14:paraId="00750A0E" w14:textId="77777777" w:rsidR="00E215B0" w:rsidRDefault="00E215B0" w:rsidP="00E215B0">
      <w:pPr>
        <w:numPr>
          <w:ilvl w:val="0"/>
          <w:numId w:val="17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1892</w:t>
      </w:r>
    </w:p>
    <w:p w14:paraId="5E19A493" w14:textId="7A806F11" w:rsidR="00E215B0" w:rsidRPr="003D693B" w:rsidRDefault="00E215B0" w:rsidP="000607BC">
      <w:pPr>
        <w:numPr>
          <w:ilvl w:val="1"/>
          <w:numId w:val="21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Geary Act is passed</w:t>
      </w:r>
      <w:r w:rsidR="000607BC">
        <w:rPr>
          <w:rFonts w:ascii="Calibri" w:eastAsia="Calibri" w:hAnsi="Calibri" w:cs="Calibri"/>
          <w:sz w:val="20"/>
          <w:szCs w:val="20"/>
        </w:rPr>
        <w:t xml:space="preserve">, strengthening </w:t>
      </w:r>
      <w:r>
        <w:rPr>
          <w:rFonts w:ascii="Calibri" w:eastAsia="Calibri" w:hAnsi="Calibri" w:cs="Calibri"/>
          <w:sz w:val="20"/>
          <w:szCs w:val="20"/>
        </w:rPr>
        <w:t xml:space="preserve">the Chinese Exclusion </w:t>
      </w:r>
      <w:proofErr w:type="gramStart"/>
      <w:r>
        <w:rPr>
          <w:rFonts w:ascii="Calibri" w:eastAsia="Calibri" w:hAnsi="Calibri" w:cs="Calibri"/>
          <w:sz w:val="20"/>
          <w:szCs w:val="20"/>
        </w:rPr>
        <w:t>Act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and extend</w:t>
      </w:r>
      <w:r w:rsidR="000607BC">
        <w:rPr>
          <w:rFonts w:ascii="Calibri" w:eastAsia="Calibri" w:hAnsi="Calibri" w:cs="Calibri"/>
          <w:sz w:val="20"/>
          <w:szCs w:val="20"/>
        </w:rPr>
        <w:t>ing</w:t>
      </w:r>
      <w:r>
        <w:rPr>
          <w:rFonts w:ascii="Calibri" w:eastAsia="Calibri" w:hAnsi="Calibri" w:cs="Calibri"/>
          <w:sz w:val="20"/>
          <w:szCs w:val="20"/>
        </w:rPr>
        <w:t xml:space="preserve"> the suspension of immigration an additional 10 years. </w:t>
      </w:r>
      <w:r w:rsidRPr="003D693B">
        <w:rPr>
          <w:rFonts w:ascii="Calibri" w:eastAsia="Calibri" w:hAnsi="Calibri" w:cs="Calibri"/>
          <w:sz w:val="20"/>
          <w:szCs w:val="20"/>
        </w:rPr>
        <w:t>The Act also required Chinese residents in the U.S. to carry documentation issued by the IRS</w:t>
      </w:r>
      <w:r w:rsidR="000607BC">
        <w:rPr>
          <w:rFonts w:ascii="Calibri" w:eastAsia="Calibri" w:hAnsi="Calibri" w:cs="Calibri"/>
          <w:sz w:val="20"/>
          <w:szCs w:val="20"/>
        </w:rPr>
        <w:t>. T</w:t>
      </w:r>
      <w:r w:rsidRPr="003D693B">
        <w:rPr>
          <w:rFonts w:ascii="Calibri" w:eastAsia="Calibri" w:hAnsi="Calibri" w:cs="Calibri"/>
          <w:sz w:val="20"/>
          <w:szCs w:val="20"/>
        </w:rPr>
        <w:t>hose caught without documents were sentenced to hard labor and deportation</w:t>
      </w:r>
    </w:p>
    <w:p w14:paraId="18CB95A7" w14:textId="7ED0A9A5" w:rsidR="00E215B0" w:rsidRDefault="00E215B0" w:rsidP="000607BC">
      <w:pPr>
        <w:numPr>
          <w:ilvl w:val="1"/>
          <w:numId w:val="21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Bail was only offered for the accused if they had a “white credible witness” </w:t>
      </w:r>
      <w:r w:rsidR="000607BC">
        <w:rPr>
          <w:rFonts w:ascii="Calibri" w:eastAsia="Calibri" w:hAnsi="Calibri" w:cs="Calibri"/>
          <w:sz w:val="20"/>
          <w:szCs w:val="20"/>
        </w:rPr>
        <w:t xml:space="preserve">who </w:t>
      </w:r>
      <w:r>
        <w:rPr>
          <w:rFonts w:ascii="Calibri" w:eastAsia="Calibri" w:hAnsi="Calibri" w:cs="Calibri"/>
          <w:sz w:val="20"/>
          <w:szCs w:val="20"/>
        </w:rPr>
        <w:t xml:space="preserve">could vouch for them.  </w:t>
      </w:r>
    </w:p>
    <w:p w14:paraId="5538D539" w14:textId="77777777" w:rsidR="00E215B0" w:rsidRDefault="00E215B0" w:rsidP="000607BC">
      <w:pPr>
        <w:numPr>
          <w:ilvl w:val="0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1902</w:t>
      </w:r>
    </w:p>
    <w:p w14:paraId="0058D656" w14:textId="026AA976" w:rsidR="00E215B0" w:rsidRPr="000607BC" w:rsidRDefault="00E215B0" w:rsidP="000607BC">
      <w:pPr>
        <w:pStyle w:val="ListParagraph"/>
        <w:numPr>
          <w:ilvl w:val="1"/>
          <w:numId w:val="22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0607BC">
        <w:rPr>
          <w:rFonts w:ascii="Calibri" w:eastAsia="Calibri" w:hAnsi="Calibri" w:cs="Calibri"/>
          <w:sz w:val="20"/>
          <w:szCs w:val="20"/>
        </w:rPr>
        <w:t>Chinese immigration to the U.S. was made</w:t>
      </w:r>
      <w:r w:rsidR="000607BC">
        <w:rPr>
          <w:rFonts w:ascii="Calibri" w:eastAsia="Calibri" w:hAnsi="Calibri" w:cs="Calibri"/>
          <w:sz w:val="20"/>
          <w:szCs w:val="20"/>
        </w:rPr>
        <w:t xml:space="preserve"> permanently</w:t>
      </w:r>
      <w:r w:rsidRPr="000607BC">
        <w:rPr>
          <w:rFonts w:ascii="Calibri" w:eastAsia="Calibri" w:hAnsi="Calibri" w:cs="Calibri"/>
          <w:sz w:val="20"/>
          <w:szCs w:val="20"/>
        </w:rPr>
        <w:t xml:space="preserve"> illegal</w:t>
      </w:r>
      <w:r w:rsidR="000607BC">
        <w:rPr>
          <w:rFonts w:ascii="Calibri" w:eastAsia="Calibri" w:hAnsi="Calibri" w:cs="Calibri"/>
          <w:sz w:val="20"/>
          <w:szCs w:val="20"/>
        </w:rPr>
        <w:t>,</w:t>
      </w:r>
      <w:r w:rsidRPr="000607BC">
        <w:rPr>
          <w:rFonts w:ascii="Calibri" w:eastAsia="Calibri" w:hAnsi="Calibri" w:cs="Calibri"/>
          <w:sz w:val="20"/>
          <w:szCs w:val="20"/>
        </w:rPr>
        <w:t xml:space="preserve"> leading to a decline in Chinese population in the U.S.</w:t>
      </w:r>
    </w:p>
    <w:p w14:paraId="6B23408F" w14:textId="77777777" w:rsidR="00E215B0" w:rsidRDefault="00E215B0" w:rsidP="000607BC">
      <w:pPr>
        <w:numPr>
          <w:ilvl w:val="0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1924</w:t>
      </w:r>
    </w:p>
    <w:p w14:paraId="4270AB4E" w14:textId="26E91516" w:rsidR="00E215B0" w:rsidRDefault="00E215B0" w:rsidP="000607BC">
      <w:pPr>
        <w:numPr>
          <w:ilvl w:val="1"/>
          <w:numId w:val="23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U.S. further strengthens </w:t>
      </w:r>
      <w:r w:rsidR="000607BC">
        <w:rPr>
          <w:rFonts w:ascii="Calibri" w:eastAsia="Calibri" w:hAnsi="Calibri" w:cs="Calibri"/>
          <w:sz w:val="20"/>
          <w:szCs w:val="20"/>
        </w:rPr>
        <w:t xml:space="preserve">its </w:t>
      </w:r>
      <w:r>
        <w:rPr>
          <w:rFonts w:ascii="Calibri" w:eastAsia="Calibri" w:hAnsi="Calibri" w:cs="Calibri"/>
          <w:sz w:val="20"/>
          <w:szCs w:val="20"/>
        </w:rPr>
        <w:t>restrictions</w:t>
      </w:r>
      <w:r w:rsidR="000607BC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passing the Immigration Act of 1924</w:t>
      </w:r>
      <w:r w:rsidR="000607BC">
        <w:rPr>
          <w:rFonts w:ascii="Calibri" w:eastAsia="Calibri" w:hAnsi="Calibri" w:cs="Calibri"/>
          <w:sz w:val="20"/>
          <w:szCs w:val="20"/>
        </w:rPr>
        <w:t>. S</w:t>
      </w:r>
      <w:r>
        <w:rPr>
          <w:rFonts w:ascii="Calibri" w:eastAsia="Calibri" w:hAnsi="Calibri" w:cs="Calibri"/>
          <w:sz w:val="20"/>
          <w:szCs w:val="20"/>
        </w:rPr>
        <w:t xml:space="preserve">igned </w:t>
      </w:r>
      <w:r w:rsidR="000607BC">
        <w:rPr>
          <w:rFonts w:ascii="Calibri" w:eastAsia="Calibri" w:hAnsi="Calibri" w:cs="Calibri"/>
          <w:sz w:val="20"/>
          <w:szCs w:val="20"/>
        </w:rPr>
        <w:t xml:space="preserve">into law </w:t>
      </w:r>
      <w:r>
        <w:rPr>
          <w:rFonts w:ascii="Calibri" w:eastAsia="Calibri" w:hAnsi="Calibri" w:cs="Calibri"/>
          <w:sz w:val="20"/>
          <w:szCs w:val="20"/>
        </w:rPr>
        <w:t>by President Coolidge</w:t>
      </w:r>
      <w:r w:rsidR="000607BC">
        <w:rPr>
          <w:rFonts w:ascii="Calibri" w:eastAsia="Calibri" w:hAnsi="Calibri" w:cs="Calibri"/>
          <w:sz w:val="20"/>
          <w:szCs w:val="20"/>
        </w:rPr>
        <w:t xml:space="preserve">, the Act also targeted </w:t>
      </w:r>
      <w:r>
        <w:rPr>
          <w:rFonts w:ascii="Calibri" w:eastAsia="Calibri" w:hAnsi="Calibri" w:cs="Calibri"/>
          <w:sz w:val="20"/>
          <w:szCs w:val="20"/>
        </w:rPr>
        <w:t xml:space="preserve">other </w:t>
      </w:r>
      <w:r w:rsidR="000607BC">
        <w:rPr>
          <w:rFonts w:ascii="Calibri" w:eastAsia="Calibri" w:hAnsi="Calibri" w:cs="Calibri"/>
          <w:sz w:val="20"/>
          <w:szCs w:val="20"/>
        </w:rPr>
        <w:t xml:space="preserve">immigrant </w:t>
      </w:r>
      <w:r>
        <w:rPr>
          <w:rFonts w:ascii="Calibri" w:eastAsia="Calibri" w:hAnsi="Calibri" w:cs="Calibri"/>
          <w:sz w:val="20"/>
          <w:szCs w:val="20"/>
        </w:rPr>
        <w:t>groups</w:t>
      </w:r>
      <w:r w:rsidR="000607BC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 xml:space="preserve">such as Middle Easterners, Hindus, East Indians, Mexicans, and Japanese. </w:t>
      </w:r>
    </w:p>
    <w:p w14:paraId="7768B336" w14:textId="054A8E6D" w:rsidR="00E215B0" w:rsidRDefault="00E215B0" w:rsidP="000607BC">
      <w:pPr>
        <w:numPr>
          <w:ilvl w:val="1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Quotas extending immigration </w:t>
      </w:r>
      <w:r w:rsidR="000607BC">
        <w:rPr>
          <w:rFonts w:ascii="Calibri" w:eastAsia="Calibri" w:hAnsi="Calibri" w:cs="Calibri"/>
          <w:sz w:val="20"/>
          <w:szCs w:val="20"/>
        </w:rPr>
        <w:t xml:space="preserve">to people from </w:t>
      </w:r>
      <w:r>
        <w:rPr>
          <w:rFonts w:ascii="Calibri" w:eastAsia="Calibri" w:hAnsi="Calibri" w:cs="Calibri"/>
          <w:sz w:val="20"/>
          <w:szCs w:val="20"/>
        </w:rPr>
        <w:t>Northern Europe</w:t>
      </w:r>
      <w:r w:rsidR="000607BC">
        <w:rPr>
          <w:rFonts w:ascii="Calibri" w:eastAsia="Calibri" w:hAnsi="Calibri" w:cs="Calibri"/>
          <w:sz w:val="20"/>
          <w:szCs w:val="20"/>
        </w:rPr>
        <w:t xml:space="preserve"> countries were established.</w:t>
      </w:r>
    </w:p>
    <w:p w14:paraId="06B023B2" w14:textId="77777777" w:rsidR="00E215B0" w:rsidRDefault="00E215B0" w:rsidP="000607BC">
      <w:pPr>
        <w:numPr>
          <w:ilvl w:val="0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1943</w:t>
      </w:r>
    </w:p>
    <w:p w14:paraId="2E56078E" w14:textId="71DD0139" w:rsidR="00E215B0" w:rsidRDefault="000607BC" w:rsidP="000607BC">
      <w:pPr>
        <w:numPr>
          <w:ilvl w:val="1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</w:t>
      </w:r>
      <w:r w:rsidR="00E215B0">
        <w:rPr>
          <w:rFonts w:ascii="Calibri" w:eastAsia="Calibri" w:hAnsi="Calibri" w:cs="Calibri"/>
          <w:sz w:val="20"/>
          <w:szCs w:val="20"/>
        </w:rPr>
        <w:t>ntil the passage of the Magnuson Act</w:t>
      </w:r>
      <w:r>
        <w:rPr>
          <w:rFonts w:ascii="Calibri" w:eastAsia="Calibri" w:hAnsi="Calibri" w:cs="Calibri"/>
          <w:sz w:val="20"/>
          <w:szCs w:val="20"/>
        </w:rPr>
        <w:t xml:space="preserve"> in 1943</w:t>
      </w:r>
      <w:r w:rsidR="00E215B0">
        <w:rPr>
          <w:rFonts w:ascii="Calibri" w:eastAsia="Calibri" w:hAnsi="Calibri" w:cs="Calibri"/>
          <w:sz w:val="20"/>
          <w:szCs w:val="20"/>
        </w:rPr>
        <w:t xml:space="preserve">, Chinese immigrants and their American born children remained ineligible for citizenship. </w:t>
      </w:r>
      <w:r w:rsidR="006A1613">
        <w:rPr>
          <w:rFonts w:ascii="Calibri" w:eastAsia="Calibri" w:hAnsi="Calibri" w:cs="Calibri"/>
          <w:sz w:val="20"/>
          <w:szCs w:val="20"/>
        </w:rPr>
        <w:t xml:space="preserve">This act permitted limited Chinese immigration and allowed some Chinese already living in the US to become naturalized citizens.  It still banned ethnic Chinese from owning property and businesses. </w:t>
      </w:r>
    </w:p>
    <w:p w14:paraId="356CACA7" w14:textId="77777777" w:rsidR="00E215B0" w:rsidRDefault="00E215B0" w:rsidP="000607BC">
      <w:pPr>
        <w:numPr>
          <w:ilvl w:val="0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2012 </w:t>
      </w:r>
    </w:p>
    <w:p w14:paraId="252842E2" w14:textId="77777777" w:rsidR="00E215B0" w:rsidRDefault="00E215B0" w:rsidP="000607BC">
      <w:pPr>
        <w:numPr>
          <w:ilvl w:val="1"/>
          <w:numId w:val="20"/>
        </w:num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resolution is formally passed expressing regret for the Chinese Exclusion Act and other legislation discriminating against Chinese Americans. </w:t>
      </w:r>
    </w:p>
    <w:tbl>
      <w:tblPr>
        <w:tblW w:w="9523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5"/>
        <w:gridCol w:w="8178"/>
      </w:tblGrid>
      <w:tr w:rsidR="00E215B0" w14:paraId="65C995A2" w14:textId="77777777" w:rsidTr="00E215B0">
        <w:trPr>
          <w:trHeight w:val="3438"/>
        </w:trPr>
        <w:tc>
          <w:tcPr>
            <w:tcW w:w="1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A521" w14:textId="77777777" w:rsidR="00E215B0" w:rsidRDefault="00E215B0" w:rsidP="005958E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6090D5EF" wp14:editId="2F6C24C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38100</wp:posOffset>
                  </wp:positionV>
                  <wp:extent cx="614363" cy="614363"/>
                  <wp:effectExtent l="0" t="0" r="0" b="0"/>
                  <wp:wrapSquare wrapText="bothSides" distT="0" distB="0" distL="0" distR="0"/>
                  <wp:docPr id="1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co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7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B257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3E5C6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</w:rPr>
              <w:t xml:space="preserve">Stop and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</w:rPr>
              <w:t>Jot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3E5C6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5C61"/>
                <w:sz w:val="28"/>
                <w:szCs w:val="28"/>
              </w:rPr>
              <w:t xml:space="preserve">your summary of the events so far: </w:t>
            </w:r>
          </w:p>
          <w:p w14:paraId="076F74CC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59E06AA2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1167AF5B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51BEFC1E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26DADE5F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3591A353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2F338590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  <w:p w14:paraId="6697BA0E" w14:textId="77777777" w:rsidR="00E215B0" w:rsidRDefault="00E215B0" w:rsidP="005958E0">
            <w:pPr>
              <w:widowControl w:val="0"/>
              <w:spacing w:line="240" w:lineRule="auto"/>
              <w:rPr>
                <w:rFonts w:ascii="Calibri" w:eastAsia="Calibri" w:hAnsi="Calibri" w:cs="Calibri"/>
                <w:color w:val="3E5C61"/>
                <w:szCs w:val="24"/>
              </w:rPr>
            </w:pPr>
          </w:p>
        </w:tc>
      </w:tr>
    </w:tbl>
    <w:p w14:paraId="009597CC" w14:textId="77777777" w:rsidR="0032371E" w:rsidRDefault="0032371E" w:rsidP="00E20512">
      <w:pPr>
        <w:pStyle w:val="Citation"/>
      </w:pPr>
    </w:p>
    <w:p w14:paraId="655A2192" w14:textId="2CA2E771" w:rsidR="00E215B0" w:rsidRPr="00E20512" w:rsidRDefault="00E215B0" w:rsidP="00E20512">
      <w:pPr>
        <w:pStyle w:val="Citation"/>
      </w:pPr>
      <w:r w:rsidRPr="00E20512">
        <w:t>History.com Staff. (201</w:t>
      </w:r>
      <w:r w:rsidR="006A1613" w:rsidRPr="00E20512">
        <w:t>8</w:t>
      </w:r>
      <w:r w:rsidRPr="00E20512">
        <w:t xml:space="preserve">, </w:t>
      </w:r>
      <w:r w:rsidR="006A1613" w:rsidRPr="00E20512">
        <w:t>Aug 24</w:t>
      </w:r>
      <w:r w:rsidRPr="00E20512">
        <w:t>).</w:t>
      </w:r>
      <w:r w:rsidRPr="00E20512">
        <w:rPr>
          <w:i w:val="0"/>
          <w:iCs/>
        </w:rPr>
        <w:t xml:space="preserve"> Chinese Exclusion Act</w:t>
      </w:r>
      <w:r w:rsidRPr="00E20512">
        <w:t xml:space="preserve">. History. </w:t>
      </w:r>
      <w:hyperlink r:id="rId9">
        <w:r w:rsidRPr="00E20512">
          <w:t>https://www.history.com/topics/immigration/chinese-exclusion-act-1882</w:t>
        </w:r>
      </w:hyperlink>
    </w:p>
    <w:p w14:paraId="50792898" w14:textId="4684EEBA" w:rsidR="00E215B0" w:rsidRPr="00E20512" w:rsidRDefault="00E215B0" w:rsidP="00E20512">
      <w:pPr>
        <w:pStyle w:val="Citation"/>
      </w:pPr>
      <w:r w:rsidRPr="00E20512">
        <w:t xml:space="preserve">Fuchs, Chris. (2016, June 20). </w:t>
      </w:r>
      <w:r w:rsidRPr="00E20512">
        <w:rPr>
          <w:i w:val="0"/>
          <w:iCs/>
        </w:rPr>
        <w:t>New York Lawmakers Ask Obama to Formally Apologize for Chinese Exclusion Act.</w:t>
      </w:r>
      <w:r w:rsidRPr="00E20512">
        <w:t xml:space="preserve"> NBC News. </w:t>
      </w:r>
      <w:hyperlink r:id="rId10">
        <w:r w:rsidRPr="00E20512">
          <w:t>https://www.nbcnews.com/news/asian-america/ny-lawmakers-ask-obama-formally-apologize-chinese-exclusion-act-n595536</w:t>
        </w:r>
      </w:hyperlink>
    </w:p>
    <w:sectPr w:rsidR="00E215B0" w:rsidRPr="00E20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A2A3" w14:textId="77777777" w:rsidR="005D714F" w:rsidRDefault="005D714F" w:rsidP="00293785">
      <w:pPr>
        <w:spacing w:after="0" w:line="240" w:lineRule="auto"/>
      </w:pPr>
      <w:r>
        <w:separator/>
      </w:r>
    </w:p>
  </w:endnote>
  <w:endnote w:type="continuationSeparator" w:id="0">
    <w:p w14:paraId="39DA3BCA" w14:textId="77777777" w:rsidR="005D714F" w:rsidRDefault="005D714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AAC4" w14:textId="77777777" w:rsidR="00E20512" w:rsidRDefault="00E20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1AB64163" w:rsidR="00293785" w:rsidRDefault="0021782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3B93512A">
              <wp:simplePos x="0" y="0"/>
              <wp:positionH relativeFrom="column">
                <wp:posOffset>1642533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5FDC7386" w:rsidR="00293785" w:rsidRPr="004D5F61" w:rsidRDefault="00000000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856A137E70B4CB4AED037D77721EE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215B0" w:rsidRPr="004D5F61">
                                <w:rPr>
                                  <w:sz w:val="22"/>
                                </w:rPr>
                                <w:t>american exclusivity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9.3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C79xac4QAAAA4B&#13;&#10;AAAPAAAAAAAAAAAAAAAAANAEAABkcnMvZG93bnJldi54bWxQSwUGAAAAAAQABADzAAAA3gUAAAAA&#13;&#10;" filled="f" stroked="f">
              <v:textbox>
                <w:txbxContent>
                  <w:p w14:paraId="42A6871C" w14:textId="5FDC7386" w:rsidR="00293785" w:rsidRPr="004D5F61" w:rsidRDefault="006642E3" w:rsidP="00D106F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D856A137E70B4CB4AED037D77721EE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215B0" w:rsidRPr="004D5F61">
                          <w:rPr>
                            <w:sz w:val="22"/>
                          </w:rPr>
                          <w:t>american exclusivity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61CEB098">
          <wp:simplePos x="0" y="0"/>
          <wp:positionH relativeFrom="column">
            <wp:posOffset>1642533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C3B2" w14:textId="77777777" w:rsidR="00E20512" w:rsidRDefault="00E20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E7B1" w14:textId="77777777" w:rsidR="005D714F" w:rsidRDefault="005D714F" w:rsidP="00293785">
      <w:pPr>
        <w:spacing w:after="0" w:line="240" w:lineRule="auto"/>
      </w:pPr>
      <w:r>
        <w:separator/>
      </w:r>
    </w:p>
  </w:footnote>
  <w:footnote w:type="continuationSeparator" w:id="0">
    <w:p w14:paraId="683E94C9" w14:textId="77777777" w:rsidR="005D714F" w:rsidRDefault="005D714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AFC" w14:textId="77777777" w:rsidR="004D5F61" w:rsidRDefault="004D5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D97E" w14:textId="77777777" w:rsidR="004D5F61" w:rsidRDefault="004D5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4883" w14:textId="77777777" w:rsidR="004D5F61" w:rsidRDefault="004D5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808"/>
    <w:multiLevelType w:val="multilevel"/>
    <w:tmpl w:val="3E8C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3BA"/>
    <w:multiLevelType w:val="multilevel"/>
    <w:tmpl w:val="32903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 w:color="2E4448" w:themeColor="accent2" w:themeShade="BF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175C62"/>
    <w:multiLevelType w:val="hybridMultilevel"/>
    <w:tmpl w:val="D4C891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4448" w:themeColor="accent2" w:themeShade="BF"/>
      </w:rPr>
    </w:lvl>
    <w:lvl w:ilvl="1" w:tplc="0D002D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2E4448" w:themeColor="accent2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A19"/>
    <w:multiLevelType w:val="multilevel"/>
    <w:tmpl w:val="156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3FEC7979"/>
    <w:multiLevelType w:val="multilevel"/>
    <w:tmpl w:val="F3AA5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E7841"/>
    <w:multiLevelType w:val="hybridMultilevel"/>
    <w:tmpl w:val="38A21F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2E4448" w:themeColor="accent2" w:themeShade="BF"/>
      </w:rPr>
    </w:lvl>
    <w:lvl w:ilvl="1" w:tplc="0D002D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2E4448" w:themeColor="accent2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E73A7"/>
    <w:multiLevelType w:val="hybridMultilevel"/>
    <w:tmpl w:val="3484F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4448" w:themeColor="accent2" w:themeShade="BF"/>
      </w:rPr>
    </w:lvl>
    <w:lvl w:ilvl="1" w:tplc="0D002D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2E4448" w:themeColor="accent2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24196"/>
    <w:multiLevelType w:val="multilevel"/>
    <w:tmpl w:val="905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D7ACA"/>
    <w:multiLevelType w:val="hybridMultilevel"/>
    <w:tmpl w:val="B116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2441"/>
    <w:multiLevelType w:val="multilevel"/>
    <w:tmpl w:val="F9340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 w:color="2E4448" w:themeColor="accent2" w:themeShade="BF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04493"/>
    <w:multiLevelType w:val="hybridMultilevel"/>
    <w:tmpl w:val="D0E2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4448" w:themeColor="accent2" w:themeShade="BF"/>
      </w:rPr>
    </w:lvl>
    <w:lvl w:ilvl="1" w:tplc="0D002D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2E4448" w:themeColor="accent2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42C5A"/>
    <w:multiLevelType w:val="multilevel"/>
    <w:tmpl w:val="8BD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514125">
    <w:abstractNumId w:val="17"/>
  </w:num>
  <w:num w:numId="2" w16cid:durableId="1139490631">
    <w:abstractNumId w:val="18"/>
  </w:num>
  <w:num w:numId="3" w16cid:durableId="947271656">
    <w:abstractNumId w:val="1"/>
  </w:num>
  <w:num w:numId="4" w16cid:durableId="1892421918">
    <w:abstractNumId w:val="7"/>
  </w:num>
  <w:num w:numId="5" w16cid:durableId="356011061">
    <w:abstractNumId w:val="11"/>
  </w:num>
  <w:num w:numId="6" w16cid:durableId="1053961563">
    <w:abstractNumId w:val="15"/>
  </w:num>
  <w:num w:numId="7" w16cid:durableId="947929766">
    <w:abstractNumId w:val="12"/>
  </w:num>
  <w:num w:numId="8" w16cid:durableId="322243627">
    <w:abstractNumId w:val="19"/>
  </w:num>
  <w:num w:numId="9" w16cid:durableId="1108621920">
    <w:abstractNumId w:val="20"/>
  </w:num>
  <w:num w:numId="10" w16cid:durableId="1184829453">
    <w:abstractNumId w:val="21"/>
  </w:num>
  <w:num w:numId="11" w16cid:durableId="758062219">
    <w:abstractNumId w:val="5"/>
  </w:num>
  <w:num w:numId="12" w16cid:durableId="1172839242">
    <w:abstractNumId w:val="22"/>
  </w:num>
  <w:num w:numId="13" w16cid:durableId="2114353900">
    <w:abstractNumId w:val="10"/>
  </w:num>
  <w:num w:numId="14" w16cid:durableId="1487281530">
    <w:abstractNumId w:val="4"/>
  </w:num>
  <w:num w:numId="15" w16cid:durableId="450978370">
    <w:abstractNumId w:val="0"/>
  </w:num>
  <w:num w:numId="16" w16cid:durableId="864635000">
    <w:abstractNumId w:val="14"/>
  </w:num>
  <w:num w:numId="17" w16cid:durableId="51276072">
    <w:abstractNumId w:val="6"/>
  </w:num>
  <w:num w:numId="18" w16cid:durableId="1749187840">
    <w:abstractNumId w:val="13"/>
  </w:num>
  <w:num w:numId="19" w16cid:durableId="991368191">
    <w:abstractNumId w:val="2"/>
  </w:num>
  <w:num w:numId="20" w16cid:durableId="1000498338">
    <w:abstractNumId w:val="16"/>
  </w:num>
  <w:num w:numId="21" w16cid:durableId="1439060671">
    <w:abstractNumId w:val="8"/>
  </w:num>
  <w:num w:numId="22" w16cid:durableId="444733261">
    <w:abstractNumId w:val="3"/>
  </w:num>
  <w:num w:numId="23" w16cid:durableId="1711997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2964"/>
    <w:rsid w:val="0004006F"/>
    <w:rsid w:val="00050825"/>
    <w:rsid w:val="00053775"/>
    <w:rsid w:val="0005619A"/>
    <w:rsid w:val="000607BC"/>
    <w:rsid w:val="0008589D"/>
    <w:rsid w:val="0011259B"/>
    <w:rsid w:val="00116FDD"/>
    <w:rsid w:val="00125621"/>
    <w:rsid w:val="0019565B"/>
    <w:rsid w:val="001D0BBF"/>
    <w:rsid w:val="001E1F85"/>
    <w:rsid w:val="001F125D"/>
    <w:rsid w:val="00217826"/>
    <w:rsid w:val="0023362D"/>
    <w:rsid w:val="002345CC"/>
    <w:rsid w:val="002519ED"/>
    <w:rsid w:val="00293785"/>
    <w:rsid w:val="002C0879"/>
    <w:rsid w:val="002C37B4"/>
    <w:rsid w:val="002F0BE0"/>
    <w:rsid w:val="0032371E"/>
    <w:rsid w:val="0036040A"/>
    <w:rsid w:val="00364273"/>
    <w:rsid w:val="00372637"/>
    <w:rsid w:val="00397FA9"/>
    <w:rsid w:val="003D693B"/>
    <w:rsid w:val="00446C13"/>
    <w:rsid w:val="0045140F"/>
    <w:rsid w:val="004D5F61"/>
    <w:rsid w:val="005078B4"/>
    <w:rsid w:val="0053328A"/>
    <w:rsid w:val="00540FC6"/>
    <w:rsid w:val="005511B6"/>
    <w:rsid w:val="00553C98"/>
    <w:rsid w:val="005A7635"/>
    <w:rsid w:val="005D714F"/>
    <w:rsid w:val="00645D7F"/>
    <w:rsid w:val="00656940"/>
    <w:rsid w:val="006642E3"/>
    <w:rsid w:val="00665274"/>
    <w:rsid w:val="00666C03"/>
    <w:rsid w:val="00686DAB"/>
    <w:rsid w:val="006A1613"/>
    <w:rsid w:val="006B4CC2"/>
    <w:rsid w:val="006E1542"/>
    <w:rsid w:val="00721EA4"/>
    <w:rsid w:val="00722431"/>
    <w:rsid w:val="00786CAF"/>
    <w:rsid w:val="00797CB5"/>
    <w:rsid w:val="007B055F"/>
    <w:rsid w:val="007E6F1D"/>
    <w:rsid w:val="007F433E"/>
    <w:rsid w:val="00880013"/>
    <w:rsid w:val="008920A4"/>
    <w:rsid w:val="00894519"/>
    <w:rsid w:val="00894AB4"/>
    <w:rsid w:val="008F5386"/>
    <w:rsid w:val="00913172"/>
    <w:rsid w:val="00981E19"/>
    <w:rsid w:val="009875EA"/>
    <w:rsid w:val="009B52E4"/>
    <w:rsid w:val="009D6E8D"/>
    <w:rsid w:val="00A101E8"/>
    <w:rsid w:val="00AB4C4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0512"/>
    <w:rsid w:val="00E215B0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94AB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89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bcnews.com/news/asian-america/ny-lawmakers-ask-obama-formally-apologize-chinese-exclusion-act-n5955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istory.com/topics/immigration/chinese-exclusion-act-1882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6A137E70B4CB4AED037D77721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F622-1324-4340-921A-77DA7AB84DF0}"/>
      </w:docPartPr>
      <w:docPartBody>
        <w:p w:rsidR="00541BF7" w:rsidRDefault="00625C5C" w:rsidP="00625C5C">
          <w:pPr>
            <w:pStyle w:val="D856A137E70B4CB4AED037D77721EE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36E69"/>
    <w:rsid w:val="000E6018"/>
    <w:rsid w:val="00290301"/>
    <w:rsid w:val="002B6A6A"/>
    <w:rsid w:val="00356532"/>
    <w:rsid w:val="004D7D24"/>
    <w:rsid w:val="004E34CB"/>
    <w:rsid w:val="00541BF7"/>
    <w:rsid w:val="00625C5C"/>
    <w:rsid w:val="006627E7"/>
    <w:rsid w:val="006E134C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C5C"/>
    <w:rPr>
      <w:color w:val="808080"/>
    </w:rPr>
  </w:style>
  <w:style w:type="paragraph" w:customStyle="1" w:styleId="D856A137E70B4CB4AED037D77721EEB2">
    <w:name w:val="D856A137E70B4CB4AED037D77721EEB2"/>
    <w:rsid w:val="0062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C:\Users\profe\Downloads\Vertical LEARN Document Attachment with Instructions.dotm</Template>
  <TotalTime>6</TotalTime>
  <Pages>2</Pages>
  <Words>588</Words>
  <Characters>3066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exclusivity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exclusivity</dc:title>
  <dc:creator>K20</dc:creator>
  <cp:keywords>Timeline</cp:keywords>
  <cp:lastModifiedBy>Lopez, Araceli</cp:lastModifiedBy>
  <cp:revision>5</cp:revision>
  <cp:lastPrinted>2016-07-14T14:08:00Z</cp:lastPrinted>
  <dcterms:created xsi:type="dcterms:W3CDTF">2021-11-02T14:10:00Z</dcterms:created>
  <dcterms:modified xsi:type="dcterms:W3CDTF">2022-08-04T18:03:00Z</dcterms:modified>
</cp:coreProperties>
</file>