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B306D9" w14:textId="6CA2FE69" w:rsidR="00894AB4" w:rsidRPr="001872E7" w:rsidRDefault="00E215B0" w:rsidP="00894AB4">
      <w:pPr>
        <w:pStyle w:val="Title"/>
      </w:pPr>
      <w:r>
        <w:rPr>
          <w:bCs/>
          <w:lang w:val="es"/>
        </w:rPr>
        <w:t>cronología de la ley de exclusión china</w:t>
      </w:r>
    </w:p>
    <w:p w14:paraId="2B792F0F" w14:textId="7193C47B" w:rsidR="00894AB4" w:rsidRDefault="00E215B0" w:rsidP="00894AB4">
      <w:pPr>
        <w:pStyle w:val="Heading1"/>
      </w:pPr>
      <w:r>
        <w:rPr>
          <w:bCs/>
          <w:lang w:val="es"/>
        </w:rPr>
        <w:t>LA INMIGRACIÓN CHINA EN LOS EE. UU.</w:t>
      </w:r>
    </w:p>
    <w:p w14:paraId="537A3A39" w14:textId="77777777" w:rsidR="00E215B0" w:rsidRPr="00E215B0" w:rsidRDefault="00E215B0" w:rsidP="00E215B0">
      <w:pPr>
        <w:numPr>
          <w:ilvl w:val="0"/>
          <w:numId w:val="16"/>
        </w:numPr>
        <w:spacing w:after="0"/>
        <w:rPr>
          <w:rFonts w:ascii="Calibri" w:eastAsia="Calibri" w:hAnsi="Calibri" w:cs="Calibri"/>
          <w:sz w:val="20"/>
          <w:szCs w:val="20"/>
        </w:rPr>
      </w:pPr>
      <w:r>
        <w:rPr>
          <w:rFonts w:ascii="Calibri" w:eastAsia="Calibri" w:hAnsi="Calibri" w:cs="Calibri"/>
          <w:sz w:val="20"/>
          <w:szCs w:val="20"/>
          <w:lang w:val="es"/>
        </w:rPr>
        <w:t>(1839-42, 1856-60)</w:t>
      </w:r>
    </w:p>
    <w:p w14:paraId="13186C6F" w14:textId="5476F8FD" w:rsidR="00E215B0" w:rsidRPr="00E215B0" w:rsidRDefault="00E215B0" w:rsidP="00E215B0">
      <w:pPr>
        <w:numPr>
          <w:ilvl w:val="1"/>
          <w:numId w:val="16"/>
        </w:numPr>
        <w:spacing w:after="0"/>
        <w:rPr>
          <w:rFonts w:ascii="Calibri" w:eastAsia="Calibri" w:hAnsi="Calibri" w:cs="Calibri"/>
          <w:sz w:val="20"/>
          <w:szCs w:val="20"/>
        </w:rPr>
      </w:pPr>
      <w:r>
        <w:rPr>
          <w:rFonts w:ascii="Calibri" w:eastAsia="Calibri" w:hAnsi="Calibri" w:cs="Calibri"/>
          <w:sz w:val="20"/>
          <w:szCs w:val="20"/>
          <w:lang w:val="es"/>
        </w:rPr>
        <w:t xml:space="preserve">Las Guerras del Opio se desarrollaron en China durante años, y dejaron al país devastado físicamente y con una enorme deuda. Tras la guerra, China sufrió una serie de fenómenos meteorológicos, desde períodos de grave sequía hasta una oleada de inundaciones que provocaron el éxodo de los agricultores chinos en busca de un nuevo comienzo. </w:t>
      </w:r>
    </w:p>
    <w:p w14:paraId="2B049BFE" w14:textId="77777777" w:rsidR="00E215B0" w:rsidRPr="00E215B0" w:rsidRDefault="00E215B0" w:rsidP="00E215B0">
      <w:pPr>
        <w:numPr>
          <w:ilvl w:val="0"/>
          <w:numId w:val="16"/>
        </w:numPr>
        <w:spacing w:after="0"/>
        <w:rPr>
          <w:rFonts w:ascii="Calibri" w:eastAsia="Calibri" w:hAnsi="Calibri" w:cs="Calibri"/>
          <w:sz w:val="20"/>
          <w:szCs w:val="20"/>
        </w:rPr>
      </w:pPr>
      <w:r>
        <w:rPr>
          <w:rFonts w:ascii="Calibri" w:eastAsia="Calibri" w:hAnsi="Calibri" w:cs="Calibri"/>
          <w:sz w:val="20"/>
          <w:szCs w:val="20"/>
          <w:lang w:val="es"/>
        </w:rPr>
        <w:t>1848</w:t>
      </w:r>
    </w:p>
    <w:p w14:paraId="6AE1258E" w14:textId="733ADF7E" w:rsidR="00E215B0" w:rsidRPr="00E215B0" w:rsidRDefault="00E215B0" w:rsidP="00E215B0">
      <w:pPr>
        <w:numPr>
          <w:ilvl w:val="1"/>
          <w:numId w:val="16"/>
        </w:numPr>
        <w:spacing w:after="0"/>
        <w:rPr>
          <w:rFonts w:ascii="Calibri" w:eastAsia="Calibri" w:hAnsi="Calibri" w:cs="Calibri"/>
          <w:sz w:val="20"/>
          <w:szCs w:val="20"/>
        </w:rPr>
      </w:pPr>
      <w:r>
        <w:rPr>
          <w:rFonts w:ascii="Calibri" w:eastAsia="Calibri" w:hAnsi="Calibri" w:cs="Calibri"/>
          <w:sz w:val="20"/>
          <w:szCs w:val="20"/>
          <w:lang w:val="es"/>
        </w:rPr>
        <w:t>Se descubre oro en California, lo que provoca un aumento de la inmigración china en Estados Unidos para aprovechar las oportunidades que ofrece la fiebre del oro.</w:t>
      </w:r>
    </w:p>
    <w:p w14:paraId="5A6AA0F6" w14:textId="053606E7" w:rsidR="00E215B0" w:rsidRPr="00E215B0" w:rsidRDefault="00E215B0" w:rsidP="00E215B0">
      <w:pPr>
        <w:numPr>
          <w:ilvl w:val="1"/>
          <w:numId w:val="16"/>
        </w:numPr>
        <w:spacing w:after="0"/>
        <w:rPr>
          <w:rFonts w:ascii="Calibri" w:eastAsia="Calibri" w:hAnsi="Calibri" w:cs="Calibri"/>
          <w:sz w:val="20"/>
          <w:szCs w:val="20"/>
        </w:rPr>
      </w:pPr>
      <w:r>
        <w:rPr>
          <w:rFonts w:ascii="Calibri" w:eastAsia="Calibri" w:hAnsi="Calibri" w:cs="Calibri"/>
          <w:sz w:val="20"/>
          <w:szCs w:val="20"/>
          <w:lang w:val="es"/>
        </w:rPr>
        <w:t>Estados Unidos ve su primera gran ola de migración china. A medida que la inmigración continúa, aumentaron las tensiones entre los mineros blancos y los chinos, lo que generó violencia contra los mineros chinos, en gran parte con carga racial.</w:t>
      </w:r>
    </w:p>
    <w:p w14:paraId="47ADD841" w14:textId="77777777" w:rsidR="00E215B0" w:rsidRPr="00E215B0" w:rsidRDefault="00E215B0" w:rsidP="00E215B0">
      <w:pPr>
        <w:numPr>
          <w:ilvl w:val="0"/>
          <w:numId w:val="16"/>
        </w:numPr>
        <w:spacing w:after="0"/>
        <w:rPr>
          <w:rFonts w:ascii="Calibri" w:eastAsia="Calibri" w:hAnsi="Calibri" w:cs="Calibri"/>
          <w:sz w:val="20"/>
          <w:szCs w:val="20"/>
        </w:rPr>
      </w:pPr>
      <w:r>
        <w:rPr>
          <w:rFonts w:ascii="Calibri" w:eastAsia="Calibri" w:hAnsi="Calibri" w:cs="Calibri"/>
          <w:sz w:val="20"/>
          <w:szCs w:val="20"/>
          <w:lang w:val="es"/>
        </w:rPr>
        <w:t>1852</w:t>
      </w:r>
    </w:p>
    <w:p w14:paraId="734E1C1D" w14:textId="04B3828B" w:rsidR="00E215B0" w:rsidRPr="00E215B0" w:rsidRDefault="00E215B0" w:rsidP="00E215B0">
      <w:pPr>
        <w:numPr>
          <w:ilvl w:val="1"/>
          <w:numId w:val="16"/>
        </w:numPr>
        <w:spacing w:after="0"/>
        <w:rPr>
          <w:rFonts w:ascii="Calibri" w:eastAsia="Calibri" w:hAnsi="Calibri" w:cs="Calibri"/>
          <w:sz w:val="20"/>
          <w:szCs w:val="20"/>
        </w:rPr>
      </w:pPr>
      <w:r>
        <w:rPr>
          <w:rFonts w:ascii="Calibri" w:eastAsia="Calibri" w:hAnsi="Calibri" w:cs="Calibri"/>
          <w:sz w:val="20"/>
          <w:szCs w:val="20"/>
          <w:lang w:val="es"/>
        </w:rPr>
        <w:t xml:space="preserve">California aprobó un "Impuesto a los Mineros Extranjeros", que cobraba 3 dólares al mes, destinado a los mineros chinos. </w:t>
      </w:r>
    </w:p>
    <w:p w14:paraId="169970F6" w14:textId="77777777" w:rsidR="00E215B0" w:rsidRPr="00E215B0" w:rsidRDefault="00E215B0" w:rsidP="00E215B0">
      <w:pPr>
        <w:numPr>
          <w:ilvl w:val="0"/>
          <w:numId w:val="16"/>
        </w:numPr>
        <w:spacing w:after="0"/>
        <w:rPr>
          <w:rFonts w:ascii="Calibri" w:eastAsia="Calibri" w:hAnsi="Calibri" w:cs="Calibri"/>
          <w:sz w:val="20"/>
          <w:szCs w:val="20"/>
        </w:rPr>
      </w:pPr>
      <w:r>
        <w:rPr>
          <w:rFonts w:ascii="Calibri" w:eastAsia="Calibri" w:hAnsi="Calibri" w:cs="Calibri"/>
          <w:sz w:val="20"/>
          <w:szCs w:val="20"/>
          <w:lang w:val="es"/>
        </w:rPr>
        <w:t>1854</w:t>
      </w:r>
    </w:p>
    <w:p w14:paraId="178F3A8D" w14:textId="464BA378" w:rsidR="00E215B0" w:rsidRPr="00E215B0" w:rsidRDefault="00E215B0" w:rsidP="00E215B0">
      <w:pPr>
        <w:numPr>
          <w:ilvl w:val="1"/>
          <w:numId w:val="16"/>
        </w:numPr>
        <w:spacing w:after="0"/>
        <w:rPr>
          <w:rFonts w:ascii="Calibri" w:eastAsia="Calibri" w:hAnsi="Calibri" w:cs="Calibri"/>
          <w:sz w:val="20"/>
          <w:szCs w:val="20"/>
        </w:rPr>
      </w:pPr>
      <w:r>
        <w:rPr>
          <w:rFonts w:ascii="Calibri" w:eastAsia="Calibri" w:hAnsi="Calibri" w:cs="Calibri"/>
          <w:sz w:val="20"/>
          <w:szCs w:val="20"/>
          <w:lang w:val="es"/>
        </w:rPr>
        <w:t xml:space="preserve">El caso de la Corte Suprema, el Pueblo contra Hall, dictaminó que, al igual que los afroamericanos y los nativos americanos, los chinos no podían testificar ante los tribunales, con lo que la justicia contra los delitos de odio era imposible de perseguir. </w:t>
      </w:r>
    </w:p>
    <w:p w14:paraId="6CC5FB00" w14:textId="77777777" w:rsidR="00E215B0" w:rsidRPr="00E215B0" w:rsidRDefault="00E215B0" w:rsidP="00E215B0">
      <w:pPr>
        <w:numPr>
          <w:ilvl w:val="0"/>
          <w:numId w:val="16"/>
        </w:numPr>
        <w:spacing w:after="0"/>
        <w:rPr>
          <w:rFonts w:ascii="Calibri" w:eastAsia="Calibri" w:hAnsi="Calibri" w:cs="Calibri"/>
          <w:sz w:val="20"/>
          <w:szCs w:val="20"/>
        </w:rPr>
      </w:pPr>
      <w:r>
        <w:rPr>
          <w:rFonts w:ascii="Calibri" w:eastAsia="Calibri" w:hAnsi="Calibri" w:cs="Calibri"/>
          <w:sz w:val="20"/>
          <w:szCs w:val="20"/>
          <w:lang w:val="es"/>
        </w:rPr>
        <w:t>1870</w:t>
      </w:r>
    </w:p>
    <w:p w14:paraId="023B2FA8" w14:textId="783E3B3A" w:rsidR="00E215B0" w:rsidRPr="00E215B0" w:rsidRDefault="00E215B0" w:rsidP="00E215B0">
      <w:pPr>
        <w:numPr>
          <w:ilvl w:val="1"/>
          <w:numId w:val="16"/>
        </w:numPr>
        <w:spacing w:after="0"/>
        <w:rPr>
          <w:rFonts w:ascii="Calibri" w:eastAsia="Calibri" w:hAnsi="Calibri" w:cs="Calibri"/>
          <w:sz w:val="20"/>
          <w:szCs w:val="20"/>
        </w:rPr>
      </w:pPr>
      <w:r>
        <w:rPr>
          <w:rFonts w:ascii="Calibri" w:eastAsia="Calibri" w:hAnsi="Calibri" w:cs="Calibri"/>
          <w:sz w:val="20"/>
          <w:szCs w:val="20"/>
          <w:lang w:val="es"/>
        </w:rPr>
        <w:t>Para entonces, el Impuesto a los Mineros Extranjeros había acumulado más de 5 millones de dólares para el estado de California; mientras tanto, los inmigrantes chinos seguían enfrentándose a la discriminación y a los crímenes de odio.</w:t>
      </w:r>
    </w:p>
    <w:tbl>
      <w:tblPr>
        <w:tblW w:w="934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8025"/>
      </w:tblGrid>
      <w:tr w:rsidR="00E215B0" w:rsidRPr="00E215B0" w14:paraId="149F56DE" w14:textId="77777777" w:rsidTr="005958E0">
        <w:trPr>
          <w:trHeight w:val="3030"/>
        </w:trPr>
        <w:tc>
          <w:tcPr>
            <w:tcW w:w="1320" w:type="dxa"/>
            <w:tcBorders>
              <w:top w:val="single" w:sz="24" w:space="0" w:color="FFFFFF"/>
              <w:left w:val="single" w:sz="24" w:space="0" w:color="FFFFFF"/>
              <w:bottom w:val="single" w:sz="24" w:space="0" w:color="FFFFFF"/>
              <w:right w:val="nil"/>
            </w:tcBorders>
            <w:shd w:val="clear" w:color="auto" w:fill="F3F3F3"/>
            <w:tcMar>
              <w:top w:w="100" w:type="dxa"/>
              <w:left w:w="100" w:type="dxa"/>
              <w:bottom w:w="100" w:type="dxa"/>
              <w:right w:w="100" w:type="dxa"/>
            </w:tcMar>
          </w:tcPr>
          <w:p w14:paraId="339FEEDD" w14:textId="77777777" w:rsidR="00E215B0" w:rsidRPr="00E215B0" w:rsidRDefault="00E215B0" w:rsidP="00E215B0">
            <w:pPr>
              <w:widowControl w:val="0"/>
              <w:spacing w:after="0" w:line="240" w:lineRule="auto"/>
              <w:jc w:val="center"/>
              <w:rPr>
                <w:rFonts w:ascii="Calibri" w:eastAsia="Calibri" w:hAnsi="Calibri" w:cs="Calibri"/>
                <w:b/>
                <w:i/>
                <w:color w:val="3E5C61"/>
                <w:sz w:val="28"/>
                <w:szCs w:val="28"/>
              </w:rPr>
            </w:pPr>
            <w:r>
              <w:rPr>
                <w:rFonts w:ascii="Arial" w:eastAsia="Arial" w:hAnsi="Arial" w:cs="Arial"/>
                <w:noProof/>
                <w:sz w:val="22"/>
                <w:lang w:val="es"/>
              </w:rPr>
              <w:drawing>
                <wp:anchor distT="0" distB="0" distL="0" distR="0" simplePos="0" relativeHeight="251659264" behindDoc="0" locked="0" layoutInCell="1" hidden="0" allowOverlap="1" wp14:anchorId="3FD43C59" wp14:editId="4C1BE791">
                  <wp:simplePos x="0" y="0"/>
                  <wp:positionH relativeFrom="column">
                    <wp:posOffset>114300</wp:posOffset>
                  </wp:positionH>
                  <wp:positionV relativeFrom="paragraph">
                    <wp:posOffset>38100</wp:posOffset>
                  </wp:positionV>
                  <wp:extent cx="614363" cy="614363"/>
                  <wp:effectExtent l="0" t="0" r="0" b="0"/>
                  <wp:wrapSquare wrapText="bothSides" distT="0" distB="0" distL="0" distR="0"/>
                  <wp:docPr id="2" name="image1.png" descr="Ícono&#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1.png" descr="Icon&#10;&#10;Description automatically generated"/>
                          <pic:cNvPicPr preferRelativeResize="0"/>
                        </pic:nvPicPr>
                        <pic:blipFill>
                          <a:blip r:embed="rId8"/>
                          <a:srcRect/>
                          <a:stretch>
                            <a:fillRect/>
                          </a:stretch>
                        </pic:blipFill>
                        <pic:spPr>
                          <a:xfrm>
                            <a:off x="0" y="0"/>
                            <a:ext cx="614363" cy="614363"/>
                          </a:xfrm>
                          <a:prstGeom prst="rect">
                            <a:avLst/>
                          </a:prstGeom>
                          <a:ln/>
                        </pic:spPr>
                      </pic:pic>
                    </a:graphicData>
                  </a:graphic>
                </wp:anchor>
              </w:drawing>
            </w:r>
          </w:p>
        </w:tc>
        <w:tc>
          <w:tcPr>
            <w:tcW w:w="8025" w:type="dxa"/>
            <w:tcBorders>
              <w:top w:val="single" w:sz="24" w:space="0" w:color="FFFFFF"/>
              <w:left w:val="nil"/>
              <w:bottom w:val="single" w:sz="24" w:space="0" w:color="FFFFFF"/>
              <w:right w:val="single" w:sz="24" w:space="0" w:color="FFFFFF"/>
            </w:tcBorders>
            <w:shd w:val="clear" w:color="auto" w:fill="F3F3F3"/>
            <w:tcMar>
              <w:top w:w="100" w:type="dxa"/>
              <w:left w:w="100" w:type="dxa"/>
              <w:bottom w:w="100" w:type="dxa"/>
              <w:right w:w="100" w:type="dxa"/>
            </w:tcMar>
          </w:tcPr>
          <w:p w14:paraId="199B5BEC" w14:textId="77777777" w:rsidR="00E215B0" w:rsidRPr="00E215B0" w:rsidRDefault="00E215B0" w:rsidP="00E215B0">
            <w:pPr>
              <w:widowControl w:val="0"/>
              <w:spacing w:after="0" w:line="240" w:lineRule="auto"/>
              <w:rPr>
                <w:rFonts w:ascii="Calibri" w:eastAsia="Calibri" w:hAnsi="Calibri" w:cs="Calibri"/>
                <w:i/>
                <w:color w:val="3E5C61"/>
                <w:sz w:val="28"/>
                <w:szCs w:val="28"/>
              </w:rPr>
            </w:pPr>
            <w:r>
              <w:rPr>
                <w:rFonts w:ascii="Calibri" w:eastAsia="Calibri" w:hAnsi="Calibri" w:cs="Calibri"/>
                <w:b/>
                <w:bCs/>
                <w:i/>
                <w:iCs/>
                <w:color w:val="3E5C61"/>
                <w:sz w:val="28"/>
                <w:szCs w:val="28"/>
                <w:lang w:val="es"/>
              </w:rPr>
              <w:t xml:space="preserve">Para y anota </w:t>
            </w:r>
            <w:r>
              <w:rPr>
                <w:rFonts w:ascii="Calibri" w:eastAsia="Calibri" w:hAnsi="Calibri" w:cs="Calibri"/>
                <w:i/>
                <w:iCs/>
                <w:color w:val="3E5C61"/>
                <w:sz w:val="28"/>
                <w:szCs w:val="28"/>
                <w:lang w:val="es"/>
              </w:rPr>
              <w:t xml:space="preserve">tu resumen de lo ocurrido hasta ahora: </w:t>
            </w:r>
          </w:p>
          <w:p w14:paraId="782229B9" w14:textId="77777777" w:rsidR="00E215B0" w:rsidRPr="00E215B0" w:rsidRDefault="00E215B0" w:rsidP="00E215B0">
            <w:pPr>
              <w:widowControl w:val="0"/>
              <w:spacing w:after="0" w:line="240" w:lineRule="auto"/>
              <w:rPr>
                <w:rFonts w:ascii="Calibri" w:eastAsia="Calibri" w:hAnsi="Calibri" w:cs="Calibri"/>
                <w:color w:val="3E5C61"/>
                <w:szCs w:val="24"/>
              </w:rPr>
            </w:pPr>
          </w:p>
          <w:p w14:paraId="51A798DD" w14:textId="77777777" w:rsidR="00E215B0" w:rsidRPr="00E215B0" w:rsidRDefault="00E215B0" w:rsidP="00E215B0">
            <w:pPr>
              <w:widowControl w:val="0"/>
              <w:spacing w:after="0" w:line="240" w:lineRule="auto"/>
              <w:rPr>
                <w:rFonts w:ascii="Calibri" w:eastAsia="Calibri" w:hAnsi="Calibri" w:cs="Calibri"/>
                <w:color w:val="3E5C61"/>
                <w:szCs w:val="24"/>
              </w:rPr>
            </w:pPr>
          </w:p>
          <w:p w14:paraId="25A03D77" w14:textId="77777777" w:rsidR="00E215B0" w:rsidRPr="00E215B0" w:rsidRDefault="00E215B0" w:rsidP="00E215B0">
            <w:pPr>
              <w:widowControl w:val="0"/>
              <w:spacing w:after="0" w:line="240" w:lineRule="auto"/>
              <w:rPr>
                <w:rFonts w:ascii="Calibri" w:eastAsia="Calibri" w:hAnsi="Calibri" w:cs="Calibri"/>
                <w:color w:val="3E5C61"/>
                <w:szCs w:val="24"/>
              </w:rPr>
            </w:pPr>
          </w:p>
          <w:p w14:paraId="0F62B648" w14:textId="77777777" w:rsidR="00E215B0" w:rsidRPr="00E215B0" w:rsidRDefault="00E215B0" w:rsidP="00E215B0">
            <w:pPr>
              <w:widowControl w:val="0"/>
              <w:spacing w:after="0" w:line="240" w:lineRule="auto"/>
              <w:rPr>
                <w:rFonts w:ascii="Calibri" w:eastAsia="Calibri" w:hAnsi="Calibri" w:cs="Calibri"/>
                <w:color w:val="3E5C61"/>
                <w:szCs w:val="24"/>
              </w:rPr>
            </w:pPr>
          </w:p>
          <w:p w14:paraId="58F79689" w14:textId="77777777" w:rsidR="00E215B0" w:rsidRPr="00E215B0" w:rsidRDefault="00E215B0" w:rsidP="00E215B0">
            <w:pPr>
              <w:widowControl w:val="0"/>
              <w:spacing w:after="0" w:line="240" w:lineRule="auto"/>
              <w:rPr>
                <w:rFonts w:ascii="Calibri" w:eastAsia="Calibri" w:hAnsi="Calibri" w:cs="Calibri"/>
                <w:color w:val="3E5C61"/>
                <w:szCs w:val="24"/>
              </w:rPr>
            </w:pPr>
          </w:p>
          <w:p w14:paraId="2D56F052" w14:textId="77777777" w:rsidR="00E215B0" w:rsidRPr="00E215B0" w:rsidRDefault="00E215B0" w:rsidP="00E215B0">
            <w:pPr>
              <w:widowControl w:val="0"/>
              <w:spacing w:after="0" w:line="240" w:lineRule="auto"/>
              <w:rPr>
                <w:rFonts w:ascii="Calibri" w:eastAsia="Calibri" w:hAnsi="Calibri" w:cs="Calibri"/>
                <w:color w:val="3E5C61"/>
                <w:szCs w:val="24"/>
              </w:rPr>
            </w:pPr>
          </w:p>
          <w:p w14:paraId="7B4E3880" w14:textId="77777777" w:rsidR="00E215B0" w:rsidRPr="00E215B0" w:rsidRDefault="00E215B0" w:rsidP="00E215B0">
            <w:pPr>
              <w:widowControl w:val="0"/>
              <w:spacing w:after="0" w:line="240" w:lineRule="auto"/>
              <w:rPr>
                <w:rFonts w:ascii="Calibri" w:eastAsia="Calibri" w:hAnsi="Calibri" w:cs="Calibri"/>
                <w:color w:val="3E5C61"/>
                <w:szCs w:val="24"/>
              </w:rPr>
            </w:pPr>
          </w:p>
          <w:p w14:paraId="02DA87FB" w14:textId="77777777" w:rsidR="00E215B0" w:rsidRPr="00E215B0" w:rsidRDefault="00E215B0" w:rsidP="00E215B0">
            <w:pPr>
              <w:widowControl w:val="0"/>
              <w:spacing w:after="0" w:line="240" w:lineRule="auto"/>
              <w:rPr>
                <w:rFonts w:ascii="Calibri" w:eastAsia="Calibri" w:hAnsi="Calibri" w:cs="Calibri"/>
                <w:color w:val="3E5C61"/>
                <w:szCs w:val="24"/>
              </w:rPr>
            </w:pPr>
          </w:p>
        </w:tc>
      </w:tr>
    </w:tbl>
    <w:p w14:paraId="4BCF84F8" w14:textId="77777777" w:rsidR="006E0352" w:rsidRDefault="006E0352" w:rsidP="00E215B0">
      <w:pPr>
        <w:rPr>
          <w:rFonts w:ascii="Calibri" w:eastAsia="Calibri" w:hAnsi="Calibri" w:cs="Calibri"/>
          <w:b/>
          <w:bCs/>
          <w:color w:val="980000"/>
          <w:szCs w:val="24"/>
          <w:lang w:val="es"/>
        </w:rPr>
      </w:pPr>
    </w:p>
    <w:p w14:paraId="3CB72333" w14:textId="3D559D67" w:rsidR="00E215B0" w:rsidRPr="00173927" w:rsidRDefault="00E215B0" w:rsidP="00173927">
      <w:pPr>
        <w:pStyle w:val="BodyText"/>
        <w:rPr>
          <w:lang w:val="es"/>
        </w:rPr>
      </w:pPr>
      <w:r>
        <w:rPr>
          <w:rFonts w:ascii="Calibri" w:eastAsia="Calibri" w:hAnsi="Calibri" w:cs="Calibri"/>
          <w:b/>
          <w:bCs/>
          <w:color w:val="980000"/>
          <w:szCs w:val="24"/>
          <w:lang w:val="es"/>
        </w:rPr>
        <w:t>LA LEY DE EXCLUSIÓN CHINA</w:t>
      </w:r>
    </w:p>
    <w:p w14:paraId="46307EC6" w14:textId="2049726A" w:rsidR="00E215B0" w:rsidRPr="00E215B0" w:rsidRDefault="00E215B0" w:rsidP="00E215B0">
      <w:pPr>
        <w:pStyle w:val="ListParagraph"/>
        <w:numPr>
          <w:ilvl w:val="0"/>
          <w:numId w:val="18"/>
        </w:numPr>
        <w:spacing w:after="0"/>
        <w:rPr>
          <w:rFonts w:ascii="Calibri" w:eastAsia="Calibri" w:hAnsi="Calibri" w:cs="Calibri"/>
          <w:sz w:val="20"/>
          <w:szCs w:val="20"/>
        </w:rPr>
      </w:pPr>
      <w:r>
        <w:rPr>
          <w:rFonts w:ascii="Calibri" w:eastAsia="Calibri" w:hAnsi="Calibri" w:cs="Calibri"/>
          <w:sz w:val="20"/>
          <w:szCs w:val="20"/>
          <w:lang w:val="es"/>
        </w:rPr>
        <w:t>1882</w:t>
      </w:r>
    </w:p>
    <w:p w14:paraId="4D7C5174" w14:textId="49FD8BC4" w:rsidR="00E215B0" w:rsidRDefault="00E215B0" w:rsidP="000607BC">
      <w:pPr>
        <w:numPr>
          <w:ilvl w:val="1"/>
          <w:numId w:val="19"/>
        </w:numPr>
        <w:spacing w:after="0"/>
        <w:rPr>
          <w:rFonts w:ascii="Calibri" w:eastAsia="Calibri" w:hAnsi="Calibri" w:cs="Calibri"/>
          <w:sz w:val="20"/>
          <w:szCs w:val="20"/>
        </w:rPr>
      </w:pPr>
      <w:r>
        <w:rPr>
          <w:rFonts w:ascii="Calibri" w:eastAsia="Calibri" w:hAnsi="Calibri" w:cs="Calibri"/>
          <w:sz w:val="20"/>
          <w:szCs w:val="20"/>
          <w:lang w:val="es"/>
        </w:rPr>
        <w:t xml:space="preserve">El presidente Chester A. Arthur promulgó la Ley de Exclusión China, destinada a frenar la afluencia de la inmigración china a California y a los Estados Unidos. </w:t>
      </w:r>
    </w:p>
    <w:p w14:paraId="354DB066" w14:textId="188445BF" w:rsidR="00217826" w:rsidRDefault="00E215B0" w:rsidP="000607BC">
      <w:pPr>
        <w:numPr>
          <w:ilvl w:val="1"/>
          <w:numId w:val="19"/>
        </w:numPr>
        <w:spacing w:after="0"/>
        <w:rPr>
          <w:rFonts w:ascii="Calibri" w:eastAsia="Calibri" w:hAnsi="Calibri" w:cs="Calibri"/>
          <w:sz w:val="20"/>
          <w:szCs w:val="20"/>
          <w:lang w:val="es"/>
        </w:rPr>
      </w:pPr>
      <w:r>
        <w:rPr>
          <w:rFonts w:ascii="Calibri" w:eastAsia="Calibri" w:hAnsi="Calibri" w:cs="Calibri"/>
          <w:sz w:val="20"/>
          <w:szCs w:val="20"/>
          <w:lang w:val="es"/>
        </w:rPr>
        <w:t xml:space="preserve">La ley suspendía la inmigración china durante 10 años y hacía que los que ya estaban en el país no pudieran optar por la naturalización. </w:t>
      </w:r>
    </w:p>
    <w:p w14:paraId="2574753F" w14:textId="77777777" w:rsidR="00173927" w:rsidRPr="00173927" w:rsidRDefault="00173927" w:rsidP="00173927">
      <w:pPr>
        <w:pStyle w:val="BodyText"/>
        <w:rPr>
          <w:lang w:val="es"/>
        </w:rPr>
      </w:pPr>
    </w:p>
    <w:p w14:paraId="00750A0E" w14:textId="77777777" w:rsidR="00E215B0" w:rsidRDefault="00E215B0" w:rsidP="00E215B0">
      <w:pPr>
        <w:numPr>
          <w:ilvl w:val="0"/>
          <w:numId w:val="17"/>
        </w:numPr>
        <w:spacing w:after="0"/>
        <w:rPr>
          <w:rFonts w:ascii="Calibri" w:eastAsia="Calibri" w:hAnsi="Calibri" w:cs="Calibri"/>
          <w:sz w:val="20"/>
          <w:szCs w:val="20"/>
        </w:rPr>
      </w:pPr>
      <w:r>
        <w:rPr>
          <w:rFonts w:ascii="Calibri" w:eastAsia="Calibri" w:hAnsi="Calibri" w:cs="Calibri"/>
          <w:sz w:val="20"/>
          <w:szCs w:val="20"/>
          <w:lang w:val="es"/>
        </w:rPr>
        <w:lastRenderedPageBreak/>
        <w:t>1892</w:t>
      </w:r>
    </w:p>
    <w:p w14:paraId="5E19A493" w14:textId="7A806F11" w:rsidR="00E215B0" w:rsidRPr="003D693B" w:rsidRDefault="00E215B0" w:rsidP="000607BC">
      <w:pPr>
        <w:numPr>
          <w:ilvl w:val="1"/>
          <w:numId w:val="21"/>
        </w:numPr>
        <w:spacing w:after="0"/>
        <w:rPr>
          <w:rFonts w:ascii="Calibri" w:eastAsia="Calibri" w:hAnsi="Calibri" w:cs="Calibri"/>
          <w:sz w:val="20"/>
          <w:szCs w:val="20"/>
        </w:rPr>
      </w:pPr>
      <w:r>
        <w:rPr>
          <w:rFonts w:ascii="Calibri" w:eastAsia="Calibri" w:hAnsi="Calibri" w:cs="Calibri"/>
          <w:sz w:val="20"/>
          <w:szCs w:val="20"/>
          <w:lang w:val="es"/>
        </w:rPr>
        <w:t>Se aprueba la Ley Geary, que refuerza la Ley de Exclusión China y amplía la suspensión de la inmigración 10 años más. La ley también exigía a los residentes chinos en los EE. UU. que llevasen consigo la documentación expedida por el IRS. Los que eran sorprendidos sin documentos eran condenados a trabajos forzados y a la deportación</w:t>
      </w:r>
    </w:p>
    <w:p w14:paraId="18CB95A7" w14:textId="7ED0A9A5" w:rsidR="00E215B0" w:rsidRDefault="00E215B0" w:rsidP="000607BC">
      <w:pPr>
        <w:numPr>
          <w:ilvl w:val="1"/>
          <w:numId w:val="21"/>
        </w:numPr>
        <w:spacing w:after="0"/>
        <w:rPr>
          <w:rFonts w:ascii="Calibri" w:eastAsia="Calibri" w:hAnsi="Calibri" w:cs="Calibri"/>
          <w:sz w:val="20"/>
          <w:szCs w:val="20"/>
        </w:rPr>
      </w:pPr>
      <w:r>
        <w:rPr>
          <w:rFonts w:ascii="Calibri" w:eastAsia="Calibri" w:hAnsi="Calibri" w:cs="Calibri"/>
          <w:sz w:val="20"/>
          <w:szCs w:val="20"/>
          <w:lang w:val="es"/>
        </w:rPr>
        <w:t xml:space="preserve">La fianza sólo se ofrecía a los acusados si tenían un "testigo blanco creíble" que pudiera responder por ellos.  </w:t>
      </w:r>
    </w:p>
    <w:p w14:paraId="5538D539" w14:textId="77777777" w:rsidR="00E215B0" w:rsidRDefault="00E215B0" w:rsidP="000607BC">
      <w:pPr>
        <w:numPr>
          <w:ilvl w:val="0"/>
          <w:numId w:val="20"/>
        </w:numPr>
        <w:spacing w:after="0"/>
        <w:rPr>
          <w:rFonts w:ascii="Calibri" w:eastAsia="Calibri" w:hAnsi="Calibri" w:cs="Calibri"/>
          <w:sz w:val="20"/>
          <w:szCs w:val="20"/>
        </w:rPr>
      </w:pPr>
      <w:r>
        <w:rPr>
          <w:rFonts w:ascii="Calibri" w:eastAsia="Calibri" w:hAnsi="Calibri" w:cs="Calibri"/>
          <w:sz w:val="20"/>
          <w:szCs w:val="20"/>
          <w:lang w:val="es"/>
        </w:rPr>
        <w:t>1902</w:t>
      </w:r>
    </w:p>
    <w:p w14:paraId="0058D656" w14:textId="026AA976" w:rsidR="00E215B0" w:rsidRPr="000607BC" w:rsidRDefault="00E215B0" w:rsidP="000607BC">
      <w:pPr>
        <w:pStyle w:val="ListParagraph"/>
        <w:numPr>
          <w:ilvl w:val="1"/>
          <w:numId w:val="22"/>
        </w:numPr>
        <w:spacing w:after="0"/>
        <w:rPr>
          <w:rFonts w:ascii="Calibri" w:eastAsia="Calibri" w:hAnsi="Calibri" w:cs="Calibri"/>
          <w:sz w:val="20"/>
          <w:szCs w:val="20"/>
        </w:rPr>
      </w:pPr>
      <w:r>
        <w:rPr>
          <w:rFonts w:ascii="Calibri" w:eastAsia="Calibri" w:hAnsi="Calibri" w:cs="Calibri"/>
          <w:sz w:val="20"/>
          <w:szCs w:val="20"/>
          <w:lang w:val="es"/>
        </w:rPr>
        <w:t>La inmigración china a los Estados Unidos se hizo permanentemente ilegal, lo que provocó un descenso de la población china en los Estados Unidos.</w:t>
      </w:r>
    </w:p>
    <w:p w14:paraId="6B23408F" w14:textId="77777777" w:rsidR="00E215B0" w:rsidRDefault="00E215B0" w:rsidP="000607BC">
      <w:pPr>
        <w:numPr>
          <w:ilvl w:val="0"/>
          <w:numId w:val="20"/>
        </w:numPr>
        <w:spacing w:after="0"/>
        <w:rPr>
          <w:rFonts w:ascii="Calibri" w:eastAsia="Calibri" w:hAnsi="Calibri" w:cs="Calibri"/>
          <w:sz w:val="20"/>
          <w:szCs w:val="20"/>
        </w:rPr>
      </w:pPr>
      <w:r>
        <w:rPr>
          <w:rFonts w:ascii="Calibri" w:eastAsia="Calibri" w:hAnsi="Calibri" w:cs="Calibri"/>
          <w:sz w:val="20"/>
          <w:szCs w:val="20"/>
          <w:lang w:val="es"/>
        </w:rPr>
        <w:t>1924</w:t>
      </w:r>
    </w:p>
    <w:p w14:paraId="4270AB4E" w14:textId="26E91516" w:rsidR="00E215B0" w:rsidRDefault="00E215B0" w:rsidP="000607BC">
      <w:pPr>
        <w:numPr>
          <w:ilvl w:val="1"/>
          <w:numId w:val="23"/>
        </w:numPr>
        <w:spacing w:after="0"/>
        <w:rPr>
          <w:rFonts w:ascii="Calibri" w:eastAsia="Calibri" w:hAnsi="Calibri" w:cs="Calibri"/>
          <w:sz w:val="20"/>
          <w:szCs w:val="20"/>
        </w:rPr>
      </w:pPr>
      <w:r>
        <w:rPr>
          <w:rFonts w:ascii="Calibri" w:eastAsia="Calibri" w:hAnsi="Calibri" w:cs="Calibri"/>
          <w:sz w:val="20"/>
          <w:szCs w:val="20"/>
          <w:lang w:val="es"/>
        </w:rPr>
        <w:t xml:space="preserve">Los Estados Unidos refuerzan aún más las restricciones, aprobando la Ley de Inmigración de 1924. Firmada por el presidente Coolidge, la ley también se dirigía a otros grupos de inmigrantes, como los de Oriente Medio, los hindúes, los indios orientales, los mexicanos y los japoneses. </w:t>
      </w:r>
    </w:p>
    <w:p w14:paraId="7768B336" w14:textId="054A8E6D" w:rsidR="00E215B0" w:rsidRDefault="00E215B0" w:rsidP="000607BC">
      <w:pPr>
        <w:numPr>
          <w:ilvl w:val="1"/>
          <w:numId w:val="20"/>
        </w:numPr>
        <w:spacing w:after="0"/>
        <w:rPr>
          <w:rFonts w:ascii="Calibri" w:eastAsia="Calibri" w:hAnsi="Calibri" w:cs="Calibri"/>
          <w:sz w:val="20"/>
          <w:szCs w:val="20"/>
        </w:rPr>
      </w:pPr>
      <w:r>
        <w:rPr>
          <w:rFonts w:ascii="Calibri" w:eastAsia="Calibri" w:hAnsi="Calibri" w:cs="Calibri"/>
          <w:sz w:val="20"/>
          <w:szCs w:val="20"/>
          <w:lang w:val="es"/>
        </w:rPr>
        <w:t>Se establecieron cuotas que ampliaban la inmigración a las personas procedentes de los países del norte de Europa.</w:t>
      </w:r>
    </w:p>
    <w:p w14:paraId="06B023B2" w14:textId="77777777" w:rsidR="00E215B0" w:rsidRDefault="00E215B0" w:rsidP="000607BC">
      <w:pPr>
        <w:numPr>
          <w:ilvl w:val="0"/>
          <w:numId w:val="20"/>
        </w:numPr>
        <w:spacing w:after="0"/>
        <w:rPr>
          <w:rFonts w:ascii="Calibri" w:eastAsia="Calibri" w:hAnsi="Calibri" w:cs="Calibri"/>
          <w:sz w:val="20"/>
          <w:szCs w:val="20"/>
        </w:rPr>
      </w:pPr>
      <w:r>
        <w:rPr>
          <w:rFonts w:ascii="Calibri" w:eastAsia="Calibri" w:hAnsi="Calibri" w:cs="Calibri"/>
          <w:sz w:val="20"/>
          <w:szCs w:val="20"/>
          <w:lang w:val="es"/>
        </w:rPr>
        <w:t>1943</w:t>
      </w:r>
    </w:p>
    <w:p w14:paraId="2E56078E" w14:textId="71DD0139" w:rsidR="00E215B0" w:rsidRDefault="000607BC" w:rsidP="000607BC">
      <w:pPr>
        <w:numPr>
          <w:ilvl w:val="1"/>
          <w:numId w:val="20"/>
        </w:numPr>
        <w:spacing w:after="0"/>
        <w:rPr>
          <w:rFonts w:ascii="Calibri" w:eastAsia="Calibri" w:hAnsi="Calibri" w:cs="Calibri"/>
          <w:sz w:val="20"/>
          <w:szCs w:val="20"/>
        </w:rPr>
      </w:pPr>
      <w:r>
        <w:rPr>
          <w:rFonts w:ascii="Calibri" w:eastAsia="Calibri" w:hAnsi="Calibri" w:cs="Calibri"/>
          <w:sz w:val="20"/>
          <w:szCs w:val="20"/>
          <w:lang w:val="es"/>
        </w:rPr>
        <w:t xml:space="preserve">Hasta la aprobación de la Ley Magnuson en 1943, los inmigrantes chinos y sus hijos nacidos en los Estados Unidos seguían sin poder obtener la ciudadanía. Esta ley permitió una inmigración china limitada y que algunos chinos que ya vivían en los Estados Unidos obtuvieran la ciudadanía  Aun así, prohibió a la población de la etnia china ser propietarios de bienes y negocios. </w:t>
      </w:r>
    </w:p>
    <w:p w14:paraId="356CACA7" w14:textId="77777777" w:rsidR="00E215B0" w:rsidRDefault="00E215B0" w:rsidP="000607BC">
      <w:pPr>
        <w:numPr>
          <w:ilvl w:val="0"/>
          <w:numId w:val="20"/>
        </w:numPr>
        <w:spacing w:after="0"/>
        <w:rPr>
          <w:rFonts w:ascii="Calibri" w:eastAsia="Calibri" w:hAnsi="Calibri" w:cs="Calibri"/>
          <w:sz w:val="20"/>
          <w:szCs w:val="20"/>
        </w:rPr>
      </w:pPr>
      <w:r>
        <w:rPr>
          <w:rFonts w:ascii="Calibri" w:eastAsia="Calibri" w:hAnsi="Calibri" w:cs="Calibri"/>
          <w:sz w:val="20"/>
          <w:szCs w:val="20"/>
          <w:lang w:val="es"/>
        </w:rPr>
        <w:t xml:space="preserve">2012 </w:t>
      </w:r>
    </w:p>
    <w:p w14:paraId="252842E2" w14:textId="77777777" w:rsidR="00E215B0" w:rsidRDefault="00E215B0" w:rsidP="000607BC">
      <w:pPr>
        <w:numPr>
          <w:ilvl w:val="1"/>
          <w:numId w:val="20"/>
        </w:numPr>
        <w:spacing w:after="0"/>
        <w:rPr>
          <w:rFonts w:ascii="Calibri" w:eastAsia="Calibri" w:hAnsi="Calibri" w:cs="Calibri"/>
          <w:sz w:val="20"/>
          <w:szCs w:val="20"/>
        </w:rPr>
      </w:pPr>
      <w:r>
        <w:rPr>
          <w:rFonts w:ascii="Calibri" w:eastAsia="Calibri" w:hAnsi="Calibri" w:cs="Calibri"/>
          <w:sz w:val="20"/>
          <w:szCs w:val="20"/>
          <w:lang w:val="es"/>
        </w:rPr>
        <w:t xml:space="preserve">Se aprueba formalmente una resolución en la que se expresa el arrepentimiento por la Ley de Exclusión China y otras leyes que discriminan a los chinos estadounidenses. </w:t>
      </w:r>
    </w:p>
    <w:tbl>
      <w:tblPr>
        <w:tblW w:w="9523"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5"/>
        <w:gridCol w:w="8178"/>
      </w:tblGrid>
      <w:tr w:rsidR="00E215B0" w14:paraId="65C995A2" w14:textId="77777777" w:rsidTr="00E215B0">
        <w:trPr>
          <w:trHeight w:val="3438"/>
        </w:trPr>
        <w:tc>
          <w:tcPr>
            <w:tcW w:w="1345" w:type="dxa"/>
            <w:tcBorders>
              <w:top w:val="single" w:sz="24" w:space="0" w:color="FFFFFF"/>
              <w:left w:val="single" w:sz="24" w:space="0" w:color="FFFFFF"/>
              <w:bottom w:val="single" w:sz="24" w:space="0" w:color="FFFFFF"/>
              <w:right w:val="nil"/>
            </w:tcBorders>
            <w:shd w:val="clear" w:color="auto" w:fill="F3F3F3"/>
            <w:tcMar>
              <w:top w:w="100" w:type="dxa"/>
              <w:left w:w="100" w:type="dxa"/>
              <w:bottom w:w="100" w:type="dxa"/>
              <w:right w:w="100" w:type="dxa"/>
            </w:tcMar>
          </w:tcPr>
          <w:p w14:paraId="149AA521" w14:textId="77777777" w:rsidR="00E215B0" w:rsidRDefault="00E215B0" w:rsidP="005958E0">
            <w:pPr>
              <w:widowControl w:val="0"/>
              <w:spacing w:line="240" w:lineRule="auto"/>
              <w:jc w:val="center"/>
              <w:rPr>
                <w:rFonts w:ascii="Calibri" w:eastAsia="Calibri" w:hAnsi="Calibri" w:cs="Calibri"/>
                <w:b/>
                <w:i/>
                <w:color w:val="3E5C61"/>
                <w:sz w:val="28"/>
                <w:szCs w:val="28"/>
              </w:rPr>
            </w:pPr>
            <w:r>
              <w:rPr>
                <w:noProof/>
                <w:lang w:val="es"/>
              </w:rPr>
              <w:drawing>
                <wp:anchor distT="0" distB="0" distL="0" distR="0" simplePos="0" relativeHeight="251661312" behindDoc="0" locked="0" layoutInCell="1" hidden="0" allowOverlap="1" wp14:anchorId="6090D5EF" wp14:editId="2F6C24C4">
                  <wp:simplePos x="0" y="0"/>
                  <wp:positionH relativeFrom="column">
                    <wp:posOffset>114300</wp:posOffset>
                  </wp:positionH>
                  <wp:positionV relativeFrom="paragraph">
                    <wp:posOffset>38100</wp:posOffset>
                  </wp:positionV>
                  <wp:extent cx="614363" cy="614363"/>
                  <wp:effectExtent l="0" t="0" r="0" b="0"/>
                  <wp:wrapSquare wrapText="bothSides" distT="0" distB="0" distL="0" distR="0"/>
                  <wp:docPr id="1" name="image1.png" descr="Í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referRelativeResize="0"/>
                        </pic:nvPicPr>
                        <pic:blipFill>
                          <a:blip r:embed="rId8"/>
                          <a:srcRect/>
                          <a:stretch>
                            <a:fillRect/>
                          </a:stretch>
                        </pic:blipFill>
                        <pic:spPr>
                          <a:xfrm>
                            <a:off x="0" y="0"/>
                            <a:ext cx="614363" cy="614363"/>
                          </a:xfrm>
                          <a:prstGeom prst="rect">
                            <a:avLst/>
                          </a:prstGeom>
                          <a:ln/>
                        </pic:spPr>
                      </pic:pic>
                    </a:graphicData>
                  </a:graphic>
                </wp:anchor>
              </w:drawing>
            </w:r>
          </w:p>
        </w:tc>
        <w:tc>
          <w:tcPr>
            <w:tcW w:w="8178" w:type="dxa"/>
            <w:tcBorders>
              <w:top w:val="single" w:sz="24" w:space="0" w:color="FFFFFF"/>
              <w:left w:val="nil"/>
              <w:bottom w:val="single" w:sz="24" w:space="0" w:color="FFFFFF"/>
              <w:right w:val="single" w:sz="24" w:space="0" w:color="FFFFFF"/>
            </w:tcBorders>
            <w:shd w:val="clear" w:color="auto" w:fill="F3F3F3"/>
            <w:tcMar>
              <w:top w:w="100" w:type="dxa"/>
              <w:left w:w="100" w:type="dxa"/>
              <w:bottom w:w="100" w:type="dxa"/>
              <w:right w:w="100" w:type="dxa"/>
            </w:tcMar>
          </w:tcPr>
          <w:p w14:paraId="0BBDB257" w14:textId="77777777" w:rsidR="00E215B0" w:rsidRDefault="00E215B0" w:rsidP="005958E0">
            <w:pPr>
              <w:widowControl w:val="0"/>
              <w:spacing w:line="240" w:lineRule="auto"/>
              <w:rPr>
                <w:rFonts w:ascii="Calibri" w:eastAsia="Calibri" w:hAnsi="Calibri" w:cs="Calibri"/>
                <w:i/>
                <w:color w:val="3E5C61"/>
                <w:sz w:val="28"/>
                <w:szCs w:val="28"/>
              </w:rPr>
            </w:pPr>
            <w:r>
              <w:rPr>
                <w:rFonts w:ascii="Calibri" w:eastAsia="Calibri" w:hAnsi="Calibri" w:cs="Calibri"/>
                <w:b/>
                <w:bCs/>
                <w:i/>
                <w:iCs/>
                <w:color w:val="3E5C61"/>
                <w:sz w:val="28"/>
                <w:szCs w:val="28"/>
                <w:lang w:val="es"/>
              </w:rPr>
              <w:t xml:space="preserve">Para y anota </w:t>
            </w:r>
            <w:r>
              <w:rPr>
                <w:rFonts w:ascii="Calibri" w:eastAsia="Calibri" w:hAnsi="Calibri" w:cs="Calibri"/>
                <w:i/>
                <w:iCs/>
                <w:color w:val="3E5C61"/>
                <w:sz w:val="28"/>
                <w:szCs w:val="28"/>
                <w:lang w:val="es"/>
              </w:rPr>
              <w:t xml:space="preserve">tu resumen de lo ocurrido hasta ahora: </w:t>
            </w:r>
          </w:p>
          <w:p w14:paraId="076F74CC" w14:textId="77777777" w:rsidR="00E215B0" w:rsidRDefault="00E215B0" w:rsidP="005958E0">
            <w:pPr>
              <w:widowControl w:val="0"/>
              <w:spacing w:line="240" w:lineRule="auto"/>
              <w:rPr>
                <w:rFonts w:ascii="Calibri" w:eastAsia="Calibri" w:hAnsi="Calibri" w:cs="Calibri"/>
                <w:color w:val="3E5C61"/>
                <w:szCs w:val="24"/>
              </w:rPr>
            </w:pPr>
          </w:p>
          <w:p w14:paraId="59E06AA2" w14:textId="77777777" w:rsidR="00E215B0" w:rsidRDefault="00E215B0" w:rsidP="005958E0">
            <w:pPr>
              <w:widowControl w:val="0"/>
              <w:spacing w:line="240" w:lineRule="auto"/>
              <w:rPr>
                <w:rFonts w:ascii="Calibri" w:eastAsia="Calibri" w:hAnsi="Calibri" w:cs="Calibri"/>
                <w:color w:val="3E5C61"/>
                <w:szCs w:val="24"/>
              </w:rPr>
            </w:pPr>
          </w:p>
          <w:p w14:paraId="1167AF5B" w14:textId="77777777" w:rsidR="00E215B0" w:rsidRDefault="00E215B0" w:rsidP="005958E0">
            <w:pPr>
              <w:widowControl w:val="0"/>
              <w:spacing w:line="240" w:lineRule="auto"/>
              <w:rPr>
                <w:rFonts w:ascii="Calibri" w:eastAsia="Calibri" w:hAnsi="Calibri" w:cs="Calibri"/>
                <w:color w:val="3E5C61"/>
                <w:szCs w:val="24"/>
              </w:rPr>
            </w:pPr>
          </w:p>
          <w:p w14:paraId="51BEFC1E" w14:textId="77777777" w:rsidR="00E215B0" w:rsidRDefault="00E215B0" w:rsidP="005958E0">
            <w:pPr>
              <w:widowControl w:val="0"/>
              <w:spacing w:line="240" w:lineRule="auto"/>
              <w:rPr>
                <w:rFonts w:ascii="Calibri" w:eastAsia="Calibri" w:hAnsi="Calibri" w:cs="Calibri"/>
                <w:color w:val="3E5C61"/>
                <w:szCs w:val="24"/>
              </w:rPr>
            </w:pPr>
          </w:p>
          <w:p w14:paraId="26DADE5F" w14:textId="77777777" w:rsidR="00E215B0" w:rsidRDefault="00E215B0" w:rsidP="005958E0">
            <w:pPr>
              <w:widowControl w:val="0"/>
              <w:spacing w:line="240" w:lineRule="auto"/>
              <w:rPr>
                <w:rFonts w:ascii="Calibri" w:eastAsia="Calibri" w:hAnsi="Calibri" w:cs="Calibri"/>
                <w:color w:val="3E5C61"/>
                <w:szCs w:val="24"/>
              </w:rPr>
            </w:pPr>
          </w:p>
          <w:p w14:paraId="3591A353" w14:textId="77777777" w:rsidR="00E215B0" w:rsidRDefault="00E215B0" w:rsidP="005958E0">
            <w:pPr>
              <w:widowControl w:val="0"/>
              <w:spacing w:line="240" w:lineRule="auto"/>
              <w:rPr>
                <w:rFonts w:ascii="Calibri" w:eastAsia="Calibri" w:hAnsi="Calibri" w:cs="Calibri"/>
                <w:color w:val="3E5C61"/>
                <w:szCs w:val="24"/>
              </w:rPr>
            </w:pPr>
          </w:p>
          <w:p w14:paraId="2F338590" w14:textId="77777777" w:rsidR="00E215B0" w:rsidRDefault="00E215B0" w:rsidP="005958E0">
            <w:pPr>
              <w:widowControl w:val="0"/>
              <w:spacing w:line="240" w:lineRule="auto"/>
              <w:rPr>
                <w:rFonts w:ascii="Calibri" w:eastAsia="Calibri" w:hAnsi="Calibri" w:cs="Calibri"/>
                <w:color w:val="3E5C61"/>
                <w:szCs w:val="24"/>
              </w:rPr>
            </w:pPr>
          </w:p>
          <w:p w14:paraId="6697BA0E" w14:textId="77777777" w:rsidR="00E215B0" w:rsidRDefault="00E215B0" w:rsidP="005958E0">
            <w:pPr>
              <w:widowControl w:val="0"/>
              <w:spacing w:line="240" w:lineRule="auto"/>
              <w:rPr>
                <w:rFonts w:ascii="Calibri" w:eastAsia="Calibri" w:hAnsi="Calibri" w:cs="Calibri"/>
                <w:color w:val="3E5C61"/>
                <w:szCs w:val="24"/>
              </w:rPr>
            </w:pPr>
          </w:p>
        </w:tc>
      </w:tr>
    </w:tbl>
    <w:p w14:paraId="1BBE75D1" w14:textId="77777777" w:rsidR="006E0352" w:rsidRDefault="006E0352" w:rsidP="00E215B0">
      <w:pPr>
        <w:pStyle w:val="Citation"/>
        <w:rPr>
          <w:i w:val="0"/>
          <w:lang w:val="es"/>
        </w:rPr>
      </w:pPr>
    </w:p>
    <w:p w14:paraId="376BD96C" w14:textId="7FC2C8F3" w:rsidR="006E0352" w:rsidRDefault="006E0352" w:rsidP="006E0352">
      <w:pPr>
        <w:pStyle w:val="BodyText"/>
        <w:rPr>
          <w:color w:val="3E5C61"/>
          <w:sz w:val="18"/>
          <w:lang w:val="es"/>
        </w:rPr>
      </w:pPr>
    </w:p>
    <w:p w14:paraId="655A2192" w14:textId="74BAA57E" w:rsidR="00E215B0" w:rsidRPr="00173927" w:rsidRDefault="00E215B0" w:rsidP="00173927">
      <w:pPr>
        <w:pStyle w:val="Citation"/>
      </w:pPr>
      <w:r w:rsidRPr="00173927">
        <w:t xml:space="preserve">History.com Staff. (24 de </w:t>
      </w:r>
      <w:proofErr w:type="spellStart"/>
      <w:r w:rsidRPr="00173927">
        <w:t>agosto</w:t>
      </w:r>
      <w:proofErr w:type="spellEnd"/>
      <w:r w:rsidRPr="00173927">
        <w:t xml:space="preserve"> de 2018). </w:t>
      </w:r>
      <w:r w:rsidRPr="00173927">
        <w:rPr>
          <w:i w:val="0"/>
          <w:iCs/>
        </w:rPr>
        <w:t>Chinese Exclusion Act</w:t>
      </w:r>
      <w:r w:rsidRPr="00173927">
        <w:t xml:space="preserve">. History. </w:t>
      </w:r>
      <w:hyperlink r:id="rId9">
        <w:r w:rsidRPr="00173927">
          <w:t>https://www.history.com/topics/immigration/chinese-exclusion-act-1882</w:t>
        </w:r>
      </w:hyperlink>
    </w:p>
    <w:p w14:paraId="50792898" w14:textId="4684EEBA" w:rsidR="00E215B0" w:rsidRPr="00173927" w:rsidRDefault="00E215B0" w:rsidP="00173927">
      <w:pPr>
        <w:pStyle w:val="Citation"/>
      </w:pPr>
      <w:r w:rsidRPr="00173927">
        <w:t xml:space="preserve">Fuchs, Chris. (20 de </w:t>
      </w:r>
      <w:proofErr w:type="spellStart"/>
      <w:r w:rsidRPr="00173927">
        <w:t>junio</w:t>
      </w:r>
      <w:proofErr w:type="spellEnd"/>
      <w:r w:rsidRPr="00173927">
        <w:t xml:space="preserve"> de 2016). </w:t>
      </w:r>
      <w:r w:rsidRPr="00173927">
        <w:rPr>
          <w:i w:val="0"/>
          <w:iCs/>
        </w:rPr>
        <w:t>New York Lawmakers Ask Obama to Formally Apologize for Chinese Exclusion Act</w:t>
      </w:r>
      <w:r w:rsidRPr="00173927">
        <w:t xml:space="preserve">. NBC News. </w:t>
      </w:r>
      <w:hyperlink r:id="rId10">
        <w:r w:rsidRPr="00173927">
          <w:t>https://www.nbcnews.com/news/asian-america/ny-lawmakers-ask-obama-formally-apologize-chinese-exclusion-act-n595536</w:t>
        </w:r>
      </w:hyperlink>
    </w:p>
    <w:sectPr w:rsidR="00E215B0" w:rsidRPr="00173927" w:rsidSect="006E0352">
      <w:headerReference w:type="even" r:id="rId11"/>
      <w:headerReference w:type="default" r:id="rId12"/>
      <w:footerReference w:type="even" r:id="rId13"/>
      <w:footerReference w:type="default" r:id="rId14"/>
      <w:headerReference w:type="first" r:id="rId15"/>
      <w:footerReference w:type="first" r:id="rId16"/>
      <w:pgSz w:w="12240" w:h="15840"/>
      <w:pgMar w:top="81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C01D" w14:textId="77777777" w:rsidR="004E4B32" w:rsidRDefault="004E4B32" w:rsidP="00293785">
      <w:pPr>
        <w:spacing w:after="0" w:line="240" w:lineRule="auto"/>
      </w:pPr>
      <w:r>
        <w:separator/>
      </w:r>
    </w:p>
  </w:endnote>
  <w:endnote w:type="continuationSeparator" w:id="0">
    <w:p w14:paraId="3C49FC59" w14:textId="77777777" w:rsidR="004E4B32" w:rsidRDefault="004E4B32"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8D27" w14:textId="77777777" w:rsidR="00173927" w:rsidRDefault="00173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B497" w14:textId="1AB64163" w:rsidR="00293785" w:rsidRDefault="00217826">
    <w:pPr>
      <w:pStyle w:val="Footer"/>
    </w:pPr>
    <w:r>
      <w:rPr>
        <w:noProof/>
        <w:lang w:val="es"/>
      </w:rPr>
      <mc:AlternateContent>
        <mc:Choice Requires="wps">
          <w:drawing>
            <wp:anchor distT="0" distB="0" distL="114300" distR="114300" simplePos="0" relativeHeight="251667456" behindDoc="0" locked="0" layoutInCell="1" allowOverlap="1" wp14:anchorId="3633EDCB" wp14:editId="3B93512A">
              <wp:simplePos x="0" y="0"/>
              <wp:positionH relativeFrom="column">
                <wp:posOffset>1642533</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A6871C" w14:textId="5FDC7386" w:rsidR="00293785" w:rsidRPr="004D5F61" w:rsidRDefault="00000000" w:rsidP="00D106FF">
                          <w:pPr>
                            <w:pStyle w:val="LessonFooter"/>
                            <w:rPr>
                              <w:sz w:val="22"/>
                            </w:rPr>
                          </w:pPr>
                          <w:sdt>
                            <w:sdtPr>
                              <w:rPr>
                                <w:sz w:val="22"/>
                              </w:rPr>
                              <w:alias w:val="Title"/>
                              <w:tag w:val=""/>
                              <w:id w:val="1281607793"/>
                              <w:placeholder>
                                <w:docPart w:val="D856A137E70B4CB4AED037D77721EEB2"/>
                              </w:placeholder>
                              <w:dataBinding w:prefixMappings="xmlns:ns0='http://purl.org/dc/elements/1.1/' xmlns:ns1='http://schemas.openxmlformats.org/package/2006/metadata/core-properties' " w:xpath="/ns1:coreProperties[1]/ns0:title[1]" w:storeItemID="{6C3C8BC8-F283-45AE-878A-BAB7291924A1}"/>
                              <w:text/>
                            </w:sdtPr>
                            <w:sdtContent>
                              <w:r w:rsidR="006642E3">
                                <w:rPr>
                                  <w:bCs/>
                                  <w:sz w:val="22"/>
                                  <w:lang w:val="es"/>
                                </w:rPr>
                                <w:t>american exclusivity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3EDCB" id="_x0000_t202" coordsize="21600,21600" o:spt="202" path="m,l,21600r21600,l21600,xe">
              <v:stroke joinstyle="miter"/>
              <v:path gradientshapeok="t" o:connecttype="rect"/>
            </v:shapetype>
            <v:shape id="Text Box 6" o:spid="_x0000_s1026" type="#_x0000_t202" style="position:absolute;margin-left:129.35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" filled="f" stroked="f">
              <v:textbox>
                <w:txbxContent>
                  <w:p w14:paraId="42A6871C" w14:textId="5FDC7386" w:rsidR="00293785" w:rsidRPr="004D5F61" w:rsidRDefault="006642E3" w:rsidP="00D106FF">
                    <w:pPr>
                      <w:pStyle w:val="LessonFooter"/>
                      <w:rPr>
                        <w:sz w:val="22"/>
                      </w:rPr>
                      <w:bidi w:val="0"/>
                    </w:pPr>
                    <w:sdt>
                      <w:sdtPr>
                        <w:rPr>
                          <w:sz w:val="22"/>
                        </w:rPr>
                        <w:alias w:val="Title"/>
                        <w:tag w:val=""/>
                        <w:id w:val="1281607793"/>
                        <w:placeholder>
                          <w:docPart w:val="D856A137E70B4CB4AED037D77721EEB2"/>
                        </w:placeholder>
                        <w:dataBinding w:prefixMappings="xmlns:ns0='http://purl.org/dc/elements/1.1/' xmlns:ns1='http://schemas.openxmlformats.org/package/2006/metadata/core-properties' " w:xpath="/ns1:coreProperties[1]/ns0:title[1]" w:storeItemID="{6C3C8BC8-F283-45AE-878A-BAB7291924A1}"/>
                        <w:text/>
                      </w:sdtPr>
                      <w:sdtEndPr/>
                      <w:sdtContent>
                        <w:r>
                          <w:rPr>
                            <w:sz w:val="22"/>
                            <w:lang w:val="es"/>
                            <w:b w:val="1"/>
                            <w:bCs w:val="1"/>
                            <w:i w:val="0"/>
                            <w:iCs w:val="0"/>
                            <w:u w:val="none"/>
                            <w:vertAlign w:val="baseline"/>
                            <w:rtl w:val="0"/>
                          </w:rPr>
                          <w:t xml:space="preserve">american exclusivity</w:t>
                        </w:r>
                      </w:sdtContent>
                    </w:sdt>
                  </w:p>
                </w:txbxContent>
              </v:textbox>
            </v:shape>
          </w:pict>
        </mc:Fallback>
      </mc:AlternateContent>
    </w:r>
    <w:r>
      <w:rPr>
        <w:noProof/>
        <w:lang w:val="es"/>
      </w:rPr>
      <w:drawing>
        <wp:anchor distT="0" distB="0" distL="114300" distR="114300" simplePos="0" relativeHeight="251648000" behindDoc="1" locked="0" layoutInCell="1" allowOverlap="1" wp14:anchorId="1D58F7DB" wp14:editId="61CEB098">
          <wp:simplePos x="0" y="0"/>
          <wp:positionH relativeFrom="column">
            <wp:posOffset>1642533</wp:posOffset>
          </wp:positionH>
          <wp:positionV relativeFrom="paragraph">
            <wp:posOffset>-212725</wp:posOffset>
          </wp:positionV>
          <wp:extent cx="4572000" cy="3168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9972" w14:textId="77777777" w:rsidR="00173927" w:rsidRDefault="00173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48E51" w14:textId="77777777" w:rsidR="004E4B32" w:rsidRDefault="004E4B32" w:rsidP="00293785">
      <w:pPr>
        <w:spacing w:after="0" w:line="240" w:lineRule="auto"/>
      </w:pPr>
      <w:r>
        <w:separator/>
      </w:r>
    </w:p>
  </w:footnote>
  <w:footnote w:type="continuationSeparator" w:id="0">
    <w:p w14:paraId="5B717F45" w14:textId="77777777" w:rsidR="004E4B32" w:rsidRDefault="004E4B32"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0AFC" w14:textId="77777777" w:rsidR="004D5F61" w:rsidRDefault="004D5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D97E" w14:textId="77777777" w:rsidR="004D5F61" w:rsidRDefault="004D5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4883" w14:textId="77777777" w:rsidR="004D5F61" w:rsidRDefault="004D5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1808"/>
    <w:multiLevelType w:val="multilevel"/>
    <w:tmpl w:val="3E8CF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533BA"/>
    <w:multiLevelType w:val="multilevel"/>
    <w:tmpl w:val="3290306C"/>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color="2E4448" w:themeColor="accent2" w:themeShade="BF"/>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175C62"/>
    <w:multiLevelType w:val="hybridMultilevel"/>
    <w:tmpl w:val="D4C8918A"/>
    <w:lvl w:ilvl="0" w:tplc="FFFFFFFF">
      <w:start w:val="1"/>
      <w:numFmt w:val="bullet"/>
      <w:lvlText w:val=""/>
      <w:lvlJc w:val="left"/>
      <w:pPr>
        <w:ind w:left="720" w:hanging="360"/>
      </w:pPr>
      <w:rPr>
        <w:rFonts w:ascii="Symbol" w:hAnsi="Symbol" w:hint="default"/>
        <w:u w:color="2E4448" w:themeColor="accent2" w:themeShade="BF"/>
      </w:rPr>
    </w:lvl>
    <w:lvl w:ilvl="1" w:tplc="0D002D54">
      <w:start w:val="1"/>
      <w:numFmt w:val="bullet"/>
      <w:lvlText w:val=""/>
      <w:lvlJc w:val="left"/>
      <w:pPr>
        <w:ind w:left="1440" w:hanging="360"/>
      </w:pPr>
      <w:rPr>
        <w:rFonts w:ascii="Wingdings" w:hAnsi="Wingdings" w:hint="default"/>
        <w:u w:color="2E4448" w:themeColor="accent2"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7C0A19"/>
    <w:multiLevelType w:val="multilevel"/>
    <w:tmpl w:val="1560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3FEC7979"/>
    <w:multiLevelType w:val="multilevel"/>
    <w:tmpl w:val="F3AA5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E7841"/>
    <w:multiLevelType w:val="hybridMultilevel"/>
    <w:tmpl w:val="38A21F92"/>
    <w:lvl w:ilvl="0" w:tplc="FFFFFFFF">
      <w:start w:val="1"/>
      <w:numFmt w:val="bullet"/>
      <w:lvlText w:val=""/>
      <w:lvlJc w:val="left"/>
      <w:pPr>
        <w:ind w:left="720" w:hanging="360"/>
      </w:pPr>
      <w:rPr>
        <w:rFonts w:ascii="Wingdings" w:hAnsi="Wingdings" w:hint="default"/>
        <w:u w:color="2E4448" w:themeColor="accent2" w:themeShade="BF"/>
      </w:rPr>
    </w:lvl>
    <w:lvl w:ilvl="1" w:tplc="0D002D54">
      <w:start w:val="1"/>
      <w:numFmt w:val="bullet"/>
      <w:lvlText w:val=""/>
      <w:lvlJc w:val="left"/>
      <w:pPr>
        <w:ind w:left="1440" w:hanging="360"/>
      </w:pPr>
      <w:rPr>
        <w:rFonts w:ascii="Wingdings" w:hAnsi="Wingdings" w:hint="default"/>
        <w:u w:color="2E4448" w:themeColor="accent2"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CE73A7"/>
    <w:multiLevelType w:val="hybridMultilevel"/>
    <w:tmpl w:val="3484FF9E"/>
    <w:lvl w:ilvl="0" w:tplc="FFFFFFFF">
      <w:start w:val="1"/>
      <w:numFmt w:val="bullet"/>
      <w:lvlText w:val=""/>
      <w:lvlJc w:val="left"/>
      <w:pPr>
        <w:ind w:left="720" w:hanging="360"/>
      </w:pPr>
      <w:rPr>
        <w:rFonts w:ascii="Symbol" w:hAnsi="Symbol" w:hint="default"/>
        <w:u w:color="2E4448" w:themeColor="accent2" w:themeShade="BF"/>
      </w:rPr>
    </w:lvl>
    <w:lvl w:ilvl="1" w:tplc="0D002D54">
      <w:start w:val="1"/>
      <w:numFmt w:val="bullet"/>
      <w:lvlText w:val=""/>
      <w:lvlJc w:val="left"/>
      <w:pPr>
        <w:ind w:left="1440" w:hanging="360"/>
      </w:pPr>
      <w:rPr>
        <w:rFonts w:ascii="Wingdings" w:hAnsi="Wingdings" w:hint="default"/>
        <w:u w:color="2E4448" w:themeColor="accent2"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724196"/>
    <w:multiLevelType w:val="multilevel"/>
    <w:tmpl w:val="905C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D7ACA"/>
    <w:multiLevelType w:val="hybridMultilevel"/>
    <w:tmpl w:val="B116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02441"/>
    <w:multiLevelType w:val="multilevel"/>
    <w:tmpl w:val="F93406B8"/>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color="2E4448" w:themeColor="accent2" w:themeShade="BF"/>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404493"/>
    <w:multiLevelType w:val="hybridMultilevel"/>
    <w:tmpl w:val="D0E2E440"/>
    <w:lvl w:ilvl="0" w:tplc="04090001">
      <w:start w:val="1"/>
      <w:numFmt w:val="bullet"/>
      <w:lvlText w:val=""/>
      <w:lvlJc w:val="left"/>
      <w:pPr>
        <w:ind w:left="720" w:hanging="360"/>
      </w:pPr>
      <w:rPr>
        <w:rFonts w:ascii="Symbol" w:hAnsi="Symbol" w:hint="default"/>
        <w:u w:color="2E4448" w:themeColor="accent2" w:themeShade="BF"/>
      </w:rPr>
    </w:lvl>
    <w:lvl w:ilvl="1" w:tplc="0D002D54">
      <w:start w:val="1"/>
      <w:numFmt w:val="bullet"/>
      <w:lvlText w:val=""/>
      <w:lvlJc w:val="left"/>
      <w:pPr>
        <w:ind w:left="1440" w:hanging="360"/>
      </w:pPr>
      <w:rPr>
        <w:rFonts w:ascii="Wingdings" w:hAnsi="Wingdings" w:hint="default"/>
        <w:u w:color="2E4448" w:themeColor="accent2"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F42C5A"/>
    <w:multiLevelType w:val="multilevel"/>
    <w:tmpl w:val="8BDA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016622">
    <w:abstractNumId w:val="17"/>
  </w:num>
  <w:num w:numId="2" w16cid:durableId="1761178808">
    <w:abstractNumId w:val="18"/>
  </w:num>
  <w:num w:numId="3" w16cid:durableId="1132556579">
    <w:abstractNumId w:val="1"/>
  </w:num>
  <w:num w:numId="4" w16cid:durableId="1873763651">
    <w:abstractNumId w:val="7"/>
  </w:num>
  <w:num w:numId="5" w16cid:durableId="105542035">
    <w:abstractNumId w:val="11"/>
  </w:num>
  <w:num w:numId="6" w16cid:durableId="1416437419">
    <w:abstractNumId w:val="15"/>
  </w:num>
  <w:num w:numId="7" w16cid:durableId="1758551867">
    <w:abstractNumId w:val="12"/>
  </w:num>
  <w:num w:numId="8" w16cid:durableId="359016712">
    <w:abstractNumId w:val="19"/>
  </w:num>
  <w:num w:numId="9" w16cid:durableId="448471165">
    <w:abstractNumId w:val="20"/>
  </w:num>
  <w:num w:numId="10" w16cid:durableId="336076435">
    <w:abstractNumId w:val="21"/>
  </w:num>
  <w:num w:numId="11" w16cid:durableId="1125541798">
    <w:abstractNumId w:val="5"/>
  </w:num>
  <w:num w:numId="12" w16cid:durableId="1372992739">
    <w:abstractNumId w:val="22"/>
  </w:num>
  <w:num w:numId="13" w16cid:durableId="1370647234">
    <w:abstractNumId w:val="10"/>
  </w:num>
  <w:num w:numId="14" w16cid:durableId="224488774">
    <w:abstractNumId w:val="4"/>
  </w:num>
  <w:num w:numId="15" w16cid:durableId="812797789">
    <w:abstractNumId w:val="0"/>
  </w:num>
  <w:num w:numId="16" w16cid:durableId="267542236">
    <w:abstractNumId w:val="14"/>
  </w:num>
  <w:num w:numId="17" w16cid:durableId="387723345">
    <w:abstractNumId w:val="6"/>
  </w:num>
  <w:num w:numId="18" w16cid:durableId="504128379">
    <w:abstractNumId w:val="13"/>
  </w:num>
  <w:num w:numId="19" w16cid:durableId="765854968">
    <w:abstractNumId w:val="2"/>
  </w:num>
  <w:num w:numId="20" w16cid:durableId="1019937710">
    <w:abstractNumId w:val="16"/>
  </w:num>
  <w:num w:numId="21" w16cid:durableId="753818664">
    <w:abstractNumId w:val="8"/>
  </w:num>
  <w:num w:numId="22" w16cid:durableId="1783258033">
    <w:abstractNumId w:val="3"/>
  </w:num>
  <w:num w:numId="23" w16cid:durableId="6351831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5B"/>
    <w:rsid w:val="00012964"/>
    <w:rsid w:val="0004006F"/>
    <w:rsid w:val="00050825"/>
    <w:rsid w:val="00053775"/>
    <w:rsid w:val="0005619A"/>
    <w:rsid w:val="000607BC"/>
    <w:rsid w:val="0008589D"/>
    <w:rsid w:val="0011259B"/>
    <w:rsid w:val="00116FDD"/>
    <w:rsid w:val="00125621"/>
    <w:rsid w:val="00173927"/>
    <w:rsid w:val="0019565B"/>
    <w:rsid w:val="001D0BBF"/>
    <w:rsid w:val="001E1F85"/>
    <w:rsid w:val="001F125D"/>
    <w:rsid w:val="00217826"/>
    <w:rsid w:val="0023362D"/>
    <w:rsid w:val="002345CC"/>
    <w:rsid w:val="002519ED"/>
    <w:rsid w:val="00293785"/>
    <w:rsid w:val="002C0879"/>
    <w:rsid w:val="002C37B4"/>
    <w:rsid w:val="002F0BE0"/>
    <w:rsid w:val="0036040A"/>
    <w:rsid w:val="00364273"/>
    <w:rsid w:val="00372637"/>
    <w:rsid w:val="00397FA9"/>
    <w:rsid w:val="003D693B"/>
    <w:rsid w:val="00446C13"/>
    <w:rsid w:val="0045140F"/>
    <w:rsid w:val="004D5F61"/>
    <w:rsid w:val="004E4B32"/>
    <w:rsid w:val="005078B4"/>
    <w:rsid w:val="0053328A"/>
    <w:rsid w:val="00540FC6"/>
    <w:rsid w:val="005511B6"/>
    <w:rsid w:val="00553C98"/>
    <w:rsid w:val="005A7635"/>
    <w:rsid w:val="00645D7F"/>
    <w:rsid w:val="00656940"/>
    <w:rsid w:val="006642E3"/>
    <w:rsid w:val="00665274"/>
    <w:rsid w:val="00666C03"/>
    <w:rsid w:val="00686DAB"/>
    <w:rsid w:val="006A1613"/>
    <w:rsid w:val="006B4CC2"/>
    <w:rsid w:val="006E0352"/>
    <w:rsid w:val="006E1542"/>
    <w:rsid w:val="00721EA4"/>
    <w:rsid w:val="00722431"/>
    <w:rsid w:val="00786CAF"/>
    <w:rsid w:val="00797CB5"/>
    <w:rsid w:val="007B055F"/>
    <w:rsid w:val="007E6F1D"/>
    <w:rsid w:val="007F433E"/>
    <w:rsid w:val="00880013"/>
    <w:rsid w:val="008920A4"/>
    <w:rsid w:val="00894519"/>
    <w:rsid w:val="00894AB4"/>
    <w:rsid w:val="008F5386"/>
    <w:rsid w:val="00913172"/>
    <w:rsid w:val="00981E19"/>
    <w:rsid w:val="009875EA"/>
    <w:rsid w:val="009B52E4"/>
    <w:rsid w:val="009D6E8D"/>
    <w:rsid w:val="00A101E8"/>
    <w:rsid w:val="00AB4C48"/>
    <w:rsid w:val="00AC349E"/>
    <w:rsid w:val="00B92DBF"/>
    <w:rsid w:val="00BD119F"/>
    <w:rsid w:val="00C73EA1"/>
    <w:rsid w:val="00C8524A"/>
    <w:rsid w:val="00CC4F77"/>
    <w:rsid w:val="00CD3CF6"/>
    <w:rsid w:val="00CE336D"/>
    <w:rsid w:val="00D106FF"/>
    <w:rsid w:val="00D626EB"/>
    <w:rsid w:val="00DC7A6D"/>
    <w:rsid w:val="00E215B0"/>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CC69"/>
  <w15:docId w15:val="{810C6D4E-6C3F-4FA5-AF07-6BA6E52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894AB4"/>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customStyle="1" w:styleId="TableBody">
    <w:name w:val="Table Body"/>
    <w:basedOn w:val="Normal"/>
    <w:qFormat/>
    <w:rsid w:val="00894A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528981656">
      <w:bodyDiv w:val="1"/>
      <w:marLeft w:val="0"/>
      <w:marRight w:val="0"/>
      <w:marTop w:val="0"/>
      <w:marBottom w:val="0"/>
      <w:divBdr>
        <w:top w:val="none" w:sz="0" w:space="0" w:color="auto"/>
        <w:left w:val="none" w:sz="0" w:space="0" w:color="auto"/>
        <w:bottom w:val="none" w:sz="0" w:space="0" w:color="auto"/>
        <w:right w:val="none" w:sz="0" w:space="0" w:color="auto"/>
      </w:divBdr>
    </w:div>
    <w:div w:id="1883058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bcnews.com/news/asian-america/ny-lawmakers-ask-obama-formally-apologize-chinese-exclusion-act-n5955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istory.com/topics/immigration/chinese-exclusion-act-1882"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e\Download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56A137E70B4CB4AED037D77721EEB2"/>
        <w:category>
          <w:name w:val="General"/>
          <w:gallery w:val="placeholder"/>
        </w:category>
        <w:types>
          <w:type w:val="bbPlcHdr"/>
        </w:types>
        <w:behaviors>
          <w:behavior w:val="content"/>
        </w:behaviors>
        <w:guid w:val="{0B2DF622-1324-4340-921A-77DA7AB84DF0}"/>
      </w:docPartPr>
      <w:docPartBody>
        <w:p w:rsidR="00541BF7" w:rsidRDefault="00625C5C" w:rsidP="00625C5C">
          <w:pPr>
            <w:pStyle w:val="D856A137E70B4CB4AED037D77721EEB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01"/>
    <w:rsid w:val="00036E69"/>
    <w:rsid w:val="000E6018"/>
    <w:rsid w:val="00290301"/>
    <w:rsid w:val="002B6A6A"/>
    <w:rsid w:val="004D7D24"/>
    <w:rsid w:val="004E34CB"/>
    <w:rsid w:val="00541BF7"/>
    <w:rsid w:val="00625C5C"/>
    <w:rsid w:val="006627E7"/>
    <w:rsid w:val="006E134C"/>
    <w:rsid w:val="00717C78"/>
    <w:rsid w:val="00FB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C5C"/>
    <w:rPr>
      <w:color w:val="808080"/>
    </w:rPr>
  </w:style>
  <w:style w:type="paragraph" w:customStyle="1" w:styleId="D856A137E70B4CB4AED037D77721EEB2">
    <w:name w:val="D856A137E70B4CB4AED037D77721EEB2"/>
    <w:rsid w:val="00625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C:\Users\profe\Downloads\Vertical LEARN Document Attachment with Instructions.dotm</Template>
  <TotalTime>8</TotalTime>
  <Pages>2</Pages>
  <Words>662</Words>
  <Characters>3451</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american exclusivity</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exclusivity</dc:title>
  <dc:creator>K20</dc:creator>
  <cp:keywords>Timeline</cp:keywords>
  <cp:lastModifiedBy>Lopez, Araceli</cp:lastModifiedBy>
  <cp:revision>5</cp:revision>
  <cp:lastPrinted>2016-07-14T14:08:00Z</cp:lastPrinted>
  <dcterms:created xsi:type="dcterms:W3CDTF">2021-11-02T14:10:00Z</dcterms:created>
  <dcterms:modified xsi:type="dcterms:W3CDTF">2022-08-04T18:07:00Z</dcterms:modified>
</cp:coreProperties>
</file>