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F13D4" w14:textId="11DAB0EA" w:rsidR="00446C13" w:rsidRPr="00574349" w:rsidRDefault="00A32E1D" w:rsidP="00DC7A6D">
      <w:pPr>
        <w:pStyle w:val="Title"/>
        <w:rPr>
          <w:lang w:val="es-CO"/>
        </w:rPr>
      </w:pPr>
      <w:r w:rsidRPr="00574349">
        <w:rPr>
          <w:bCs/>
          <w:lang w:val="es-CO"/>
        </w:rPr>
        <w:t>Tarjetas de escenario</w:t>
      </w: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bottom w:w="115" w:type="dxa"/>
        </w:tblCellMar>
        <w:tblLook w:val="04A0" w:firstRow="1" w:lastRow="0" w:firstColumn="1" w:lastColumn="0" w:noHBand="0" w:noVBand="1"/>
      </w:tblPr>
      <w:tblGrid>
        <w:gridCol w:w="4675"/>
        <w:gridCol w:w="4675"/>
      </w:tblGrid>
      <w:tr w:rsidR="00E50B13" w:rsidRPr="00574349" w14:paraId="456D71FA" w14:textId="77777777" w:rsidTr="004E4EA9">
        <w:tc>
          <w:tcPr>
            <w:tcW w:w="2500" w:type="pct"/>
            <w:tcBorders>
              <w:top w:val="dashed" w:sz="4" w:space="0" w:color="BED7D3" w:themeColor="accent3"/>
              <w:left w:val="dashed"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056243A4" w14:textId="0969280B" w:rsidR="00E50B13" w:rsidRPr="00574349" w:rsidRDefault="00E50B13" w:rsidP="003E446A">
            <w:pPr>
              <w:pStyle w:val="TableColumnHeaders"/>
              <w:rPr>
                <w:lang w:val="es-CO"/>
              </w:rPr>
            </w:pPr>
            <w:r w:rsidRPr="00574349">
              <w:rPr>
                <w:bCs/>
                <w:lang w:val="es-CO"/>
              </w:rPr>
              <w:t>Escenario 1</w:t>
            </w:r>
          </w:p>
        </w:tc>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25C9AFE4" w14:textId="2231EEE3" w:rsidR="00E50B13" w:rsidRPr="00574349" w:rsidRDefault="00E50B13" w:rsidP="003E446A">
            <w:pPr>
              <w:pStyle w:val="TableColumnHeaders"/>
              <w:rPr>
                <w:lang w:val="es-CO"/>
              </w:rPr>
            </w:pPr>
            <w:r w:rsidRPr="00574349">
              <w:rPr>
                <w:bCs/>
                <w:lang w:val="es-CO"/>
              </w:rPr>
              <w:t>Escenario 2</w:t>
            </w:r>
          </w:p>
        </w:tc>
      </w:tr>
      <w:tr w:rsidR="00A32E1D" w:rsidRPr="00574349" w14:paraId="1F9A93B2" w14:textId="77777777" w:rsidTr="001842BC">
        <w:trPr>
          <w:trHeight w:val="5256"/>
        </w:trPr>
        <w:tc>
          <w:tcPr>
            <w:tcW w:w="2500" w:type="pct"/>
            <w:tcBorders>
              <w:top w:val="single" w:sz="4" w:space="0" w:color="BED7D3" w:themeColor="accent3"/>
              <w:left w:val="dashed" w:sz="4" w:space="0" w:color="BED7D3" w:themeColor="accent3"/>
              <w:bottom w:val="dashSmallGap" w:sz="4" w:space="0" w:color="BED7D3" w:themeColor="accent3"/>
              <w:right w:val="dashSmallGap" w:sz="4" w:space="0" w:color="BED7D3" w:themeColor="accent3"/>
            </w:tcBorders>
            <w:vAlign w:val="center"/>
          </w:tcPr>
          <w:p w14:paraId="19C4D05C" w14:textId="1CA1D419" w:rsidR="00D92A11" w:rsidRPr="00574349" w:rsidRDefault="00A32E1D" w:rsidP="002C05CB">
            <w:pPr>
              <w:pStyle w:val="TableData"/>
              <w:spacing w:line="276" w:lineRule="auto"/>
              <w:rPr>
                <w:lang w:val="es-CO"/>
              </w:rPr>
            </w:pPr>
            <w:r w:rsidRPr="00574349">
              <w:rPr>
                <w:lang w:val="es-CO"/>
              </w:rPr>
              <w:t xml:space="preserve">La salmonela, una bacteria común en el pollo crudo, se duplica cada 25 minutos cuando </w:t>
            </w:r>
            <w:r w:rsidRPr="00574349">
              <w:rPr>
                <w:lang w:val="es-CO"/>
              </w:rPr>
              <w:br/>
              <w:t xml:space="preserve">pollo crudo está a temperatura ambiente. La ecuación </w:t>
            </w:r>
            <w:r w:rsidRPr="00574349">
              <w:rPr>
                <w:lang w:val="es-CO"/>
              </w:rPr>
              <w:object w:dxaOrig="1060" w:dyaOrig="440" w14:anchorId="36456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22.4pt" o:ole="">
                  <v:imagedata r:id="rId8" o:title=""/>
                </v:shape>
                <o:OLEObject Type="Embed" ProgID="Equation.DSMT4" ShapeID="_x0000_i1025" DrawAspect="Content" ObjectID="_1716207898" r:id="rId9"/>
              </w:object>
            </w:r>
            <w:r w:rsidRPr="00574349">
              <w:rPr>
                <w:lang w:val="es-CO"/>
              </w:rPr>
              <w:t xml:space="preserve"> modela el crecimiento bacteriano de la salmonela en el pollo crudo a temperatura ambiente, donde </w:t>
            </w:r>
            <w:r w:rsidRPr="00574349">
              <w:rPr>
                <w:lang w:val="es-CO"/>
              </w:rPr>
              <w:object w:dxaOrig="139" w:dyaOrig="240" w14:anchorId="2A596BE8">
                <v:shape id="_x0000_i1026" type="#_x0000_t75" style="width:7.45pt;height:12.9pt" o:ole="">
                  <v:imagedata r:id="rId10" o:title=""/>
                </v:shape>
                <o:OLEObject Type="Embed" ProgID="Equation.DSMT4" ShapeID="_x0000_i1026" DrawAspect="Content" ObjectID="_1716207899" r:id="rId11"/>
              </w:object>
            </w:r>
            <w:r w:rsidRPr="00574349">
              <w:rPr>
                <w:lang w:val="es-CO"/>
              </w:rPr>
              <w:t xml:space="preserve"> es el tiempo en minutos. Eres un científico de los alimentos que trabaja en un importante estudio que podría ayudar a la gente a saber cómo evitar las intoxicaciones alimentarias. Determina el tiempo que tarda un ala de pollo cruda que inicialmente tiene 1 bacteria de salmonela en alcanzar un nivel inseguro de salmonela, que es de 30 bacterias.</w:t>
            </w:r>
          </w:p>
        </w:tc>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2E7A2999" w14:textId="220861FA" w:rsidR="00A32E1D" w:rsidRPr="00574349" w:rsidRDefault="001A2A62" w:rsidP="002C05CB">
            <w:pPr>
              <w:pStyle w:val="TableData"/>
              <w:spacing w:line="276" w:lineRule="auto"/>
              <w:rPr>
                <w:lang w:val="es-CO"/>
              </w:rPr>
            </w:pPr>
            <w:r w:rsidRPr="00574349">
              <w:rPr>
                <w:lang w:val="es-CO"/>
              </w:rPr>
              <w:t xml:space="preserve">Hace un par de años, empezaste a restaurar muebles en tu tiempo libre. Te gustaba conducir tu viejo sedán, pero no valía la pena la molestia cada vez que comprabas un mueble y tenías que pagar la entrega o pedir a un amigo que lo transportara por ti. Para facilitarte la vida, has decidido vender tu viejo coche y has comprado una flamante camioneta Ford® </w:t>
            </w:r>
            <w:r w:rsidRPr="00574349">
              <w:rPr>
                <w:lang w:val="es-CO"/>
              </w:rPr>
              <w:br/>
              <w:t xml:space="preserve">F-150 por 30,000 dólares. La ecuación </w:t>
            </w:r>
            <w:r w:rsidRPr="00574349">
              <w:rPr>
                <w:lang w:val="es-CO"/>
              </w:rPr>
              <w:object w:dxaOrig="1700" w:dyaOrig="440" w14:anchorId="73146137">
                <v:shape id="_x0000_i1027" type="#_x0000_t75" style="width:84.9pt;height:22.4pt" o:ole="">
                  <v:imagedata r:id="rId12" o:title=""/>
                </v:shape>
                <o:OLEObject Type="Embed" ProgID="Equation.DSMT4" ShapeID="_x0000_i1027" DrawAspect="Content" ObjectID="_1716207900" r:id="rId13"/>
              </w:object>
            </w:r>
            <w:r w:rsidRPr="00574349">
              <w:rPr>
                <w:lang w:val="es-CO"/>
              </w:rPr>
              <w:t xml:space="preserve"> modela el valor del camión a medida que se deprecia, donde </w:t>
            </w:r>
            <w:r w:rsidRPr="00574349">
              <w:rPr>
                <w:lang w:val="es-CO"/>
              </w:rPr>
              <w:object w:dxaOrig="139" w:dyaOrig="240" w14:anchorId="6FE25F9B">
                <v:shape id="_x0000_i1028" type="#_x0000_t75" style="width:7.45pt;height:12.9pt" o:ole="">
                  <v:imagedata r:id="rId14" o:title=""/>
                </v:shape>
                <o:OLEObject Type="Embed" ProgID="Equation.DSMT4" ShapeID="_x0000_i1028" DrawAspect="Content" ObjectID="_1716207901" r:id="rId15"/>
              </w:object>
            </w:r>
            <w:r w:rsidRPr="00574349">
              <w:rPr>
                <w:lang w:val="es-CO"/>
              </w:rPr>
              <w:t xml:space="preserve"> es el tiempo en años. ¿Durante cuánto tiempo podrás utilizar el camión antes de revenderlo por la mitad de lo que pagaste por él?</w:t>
            </w:r>
          </w:p>
        </w:tc>
      </w:tr>
      <w:tr w:rsidR="00E50B13" w:rsidRPr="00574349" w14:paraId="0124E741" w14:textId="77777777" w:rsidTr="004E4EA9">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716129C0" w14:textId="6186F178" w:rsidR="00E50B13" w:rsidRPr="00574349" w:rsidRDefault="00E50B13" w:rsidP="003E446A">
            <w:pPr>
              <w:pStyle w:val="TableColumnHeaders"/>
              <w:rPr>
                <w:lang w:val="es-CO"/>
              </w:rPr>
            </w:pPr>
            <w:r w:rsidRPr="00574349">
              <w:rPr>
                <w:bCs/>
                <w:lang w:val="es-CO"/>
              </w:rPr>
              <w:t>Escenario 3</w:t>
            </w:r>
          </w:p>
        </w:tc>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vAlign w:val="center"/>
          </w:tcPr>
          <w:p w14:paraId="378B96CC" w14:textId="0B78A65F" w:rsidR="00E50B13" w:rsidRPr="00574349" w:rsidRDefault="00E50B13" w:rsidP="003E446A">
            <w:pPr>
              <w:pStyle w:val="TableColumnHeaders"/>
              <w:rPr>
                <w:lang w:val="es-CO"/>
              </w:rPr>
            </w:pPr>
            <w:r w:rsidRPr="00574349">
              <w:rPr>
                <w:bCs/>
                <w:lang w:val="es-CO"/>
              </w:rPr>
              <w:t>Escenario 4</w:t>
            </w:r>
          </w:p>
        </w:tc>
      </w:tr>
      <w:tr w:rsidR="00E50B13" w:rsidRPr="00574349" w14:paraId="7C9755C0" w14:textId="77777777" w:rsidTr="001842BC">
        <w:trPr>
          <w:trHeight w:val="5256"/>
        </w:trPr>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24052AAD" w14:textId="5BE4E7F9" w:rsidR="00E50B13" w:rsidRPr="00574349" w:rsidRDefault="00F90CCD" w:rsidP="002C05CB">
            <w:pPr>
              <w:pStyle w:val="TableData"/>
              <w:spacing w:line="276" w:lineRule="auto"/>
              <w:rPr>
                <w:lang w:val="es-CO"/>
              </w:rPr>
            </w:pPr>
            <w:r w:rsidRPr="00574349">
              <w:rPr>
                <w:lang w:val="es-CO"/>
              </w:rPr>
              <w:t xml:space="preserve">En 1986, en la central de Chernóbil (Ucrania), un reactor se fundió y provocó una explosión que liberó materiales radiactivos, como el cesio 137, en el aire. Cuando se produjo el accidente, se liberaron 27 kg de Cesio-137. La cantidad de Cesio-137 restante en la atmósfera viene dada por la ecuación </w:t>
            </w:r>
            <w:r w:rsidRPr="00574349">
              <w:rPr>
                <w:lang w:val="es-CO"/>
              </w:rPr>
              <w:object w:dxaOrig="1180" w:dyaOrig="360" w14:anchorId="413BAB65">
                <v:shape id="_x0000_i1029" type="#_x0000_t75" style="width:59.1pt;height:17.65pt" o:ole="">
                  <v:imagedata r:id="rId16" o:title=""/>
                </v:shape>
                <o:OLEObject Type="Embed" ProgID="Equation.DSMT4" ShapeID="_x0000_i1029" DrawAspect="Content" ObjectID="_1716207902" r:id="rId17"/>
              </w:object>
            </w:r>
            <w:r w:rsidRPr="00574349">
              <w:rPr>
                <w:lang w:val="es-CO"/>
              </w:rPr>
              <w:t xml:space="preserve">, donde </w:t>
            </w:r>
            <w:r w:rsidRPr="00574349">
              <w:rPr>
                <w:lang w:val="es-CO"/>
              </w:rPr>
              <w:object w:dxaOrig="139" w:dyaOrig="240" w14:anchorId="51153902">
                <v:shape id="_x0000_i1030" type="#_x0000_t75" style="width:7.45pt;height:12.9pt" o:ole="">
                  <v:imagedata r:id="rId18" o:title=""/>
                </v:shape>
                <o:OLEObject Type="Embed" ProgID="Equation.DSMT4" ShapeID="_x0000_i1030" DrawAspect="Content" ObjectID="_1716207903" r:id="rId19"/>
              </w:object>
            </w:r>
            <w:r w:rsidRPr="00574349">
              <w:rPr>
                <w:lang w:val="es-CO"/>
              </w:rPr>
              <w:t xml:space="preserve"> es el tiempo en años desde 1986. ¿En qué año la cantidad de Cesio-137 en la atmósfera será igual al 10% de lo liberado?</w:t>
            </w:r>
          </w:p>
          <w:p w14:paraId="63A47EDB" w14:textId="77777777" w:rsidR="00331B86" w:rsidRPr="00574349" w:rsidRDefault="00331B86" w:rsidP="002C05CB">
            <w:pPr>
              <w:pStyle w:val="TableData"/>
              <w:spacing w:line="276" w:lineRule="auto"/>
              <w:rPr>
                <w:lang w:val="es-CO"/>
              </w:rPr>
            </w:pPr>
          </w:p>
          <w:p w14:paraId="45EEBF9B" w14:textId="237A4602" w:rsidR="0057279A" w:rsidRPr="00574349" w:rsidRDefault="0057279A" w:rsidP="002C05CB">
            <w:pPr>
              <w:pStyle w:val="TableData"/>
              <w:spacing w:line="276" w:lineRule="auto"/>
              <w:rPr>
                <w:lang w:val="es-CO"/>
              </w:rPr>
            </w:pPr>
            <w:r w:rsidRPr="00574349">
              <w:rPr>
                <w:b/>
                <w:bCs/>
                <w:i/>
                <w:iCs/>
                <w:lang w:val="es-CO"/>
              </w:rPr>
              <w:t xml:space="preserve">Pista: </w:t>
            </w:r>
            <w:r w:rsidRPr="00574349">
              <w:rPr>
                <w:lang w:val="es-CO"/>
              </w:rPr>
              <w:t>10.3 años después del año 1986 es 1997.</w:t>
            </w:r>
          </w:p>
        </w:tc>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48D2841C" w14:textId="77777777" w:rsidR="00574349" w:rsidRDefault="00CB1646" w:rsidP="002C05CB">
            <w:pPr>
              <w:pStyle w:val="TableData"/>
              <w:spacing w:line="276" w:lineRule="auto"/>
              <w:rPr>
                <w:lang w:val="es-CO"/>
              </w:rPr>
            </w:pPr>
            <w:r w:rsidRPr="00574349">
              <w:rPr>
                <w:lang w:val="es-CO"/>
              </w:rPr>
              <w:t xml:space="preserve">Como investigador de la Administración de Alimentos y Medicamentos (FDA), desempeñas un papel crucial para garantizar que los medicamentos sean seguros para el público y contengan información precisa en la etiqueta. Tu tarea actual es revisar la etiqueta del acetaminofén, comúnmente conocido como Tylenol. La dosis prescrita es de 2 comprimidos, cada uno de los cuales contiene 325 mg de acetaminofén. La cantidad (mg) de acetaminofén en el organismo de una persona después de </w:t>
            </w:r>
            <w:r w:rsidRPr="00574349">
              <w:rPr>
                <w:lang w:val="es-CO"/>
              </w:rPr>
              <w:object w:dxaOrig="139" w:dyaOrig="240" w14:anchorId="2090840F">
                <v:shape id="_x0000_i1674" type="#_x0000_t75" style="width:7.45pt;height:12.9pt" o:ole="">
                  <v:imagedata r:id="rId20" o:title=""/>
                </v:shape>
                <o:OLEObject Type="Embed" ProgID="Equation.DSMT4" ShapeID="_x0000_i1674" DrawAspect="Content" ObjectID="_1716207904" r:id="rId21"/>
              </w:object>
            </w:r>
            <w:r w:rsidRPr="00574349">
              <w:rPr>
                <w:lang w:val="es-CO"/>
              </w:rPr>
              <w:t xml:space="preserve"> horas viene dada por la ecuación </w:t>
            </w:r>
            <w:r w:rsidRPr="00574349">
              <w:rPr>
                <w:lang w:val="es-CO"/>
              </w:rPr>
              <w:object w:dxaOrig="1440" w:dyaOrig="740" w14:anchorId="6326FD7A">
                <v:shape id="_x0000_i1671" type="#_x0000_t75" style="width:1in;height:37.35pt" o:ole="">
                  <v:imagedata r:id="rId22" o:title=""/>
                </v:shape>
                <o:OLEObject Type="Embed" ProgID="Equation.DSMT4" ShapeID="_x0000_i1671" DrawAspect="Content" ObjectID="_1716207905" r:id="rId23"/>
              </w:object>
            </w:r>
            <w:r w:rsidRPr="00574349">
              <w:rPr>
                <w:lang w:val="es-CO"/>
              </w:rPr>
              <w:t xml:space="preserve">. </w:t>
            </w:r>
          </w:p>
          <w:p w14:paraId="733969A8" w14:textId="5EADB3AB" w:rsidR="00617F4C" w:rsidRPr="00574349" w:rsidRDefault="00CB1646" w:rsidP="002C05CB">
            <w:pPr>
              <w:pStyle w:val="TableData"/>
              <w:spacing w:line="276" w:lineRule="auto"/>
              <w:rPr>
                <w:lang w:val="es-CO"/>
              </w:rPr>
            </w:pPr>
            <w:r w:rsidRPr="00574349">
              <w:rPr>
                <w:lang w:val="es-CO"/>
              </w:rPr>
              <w:lastRenderedPageBreak/>
              <w:t>Si alguien se toma 2 comprimidos, ¿cuánto tiempo pasará hasta que tenga menos del 1% de esa dosis en su organismo y pueda tomar la siguiente dosis con seguridad?</w:t>
            </w:r>
          </w:p>
        </w:tc>
      </w:tr>
    </w:tbl>
    <w:p w14:paraId="367846BF" w14:textId="50C4BF3F" w:rsidR="00CC4AC8" w:rsidRPr="00574349" w:rsidRDefault="00CC4AC8">
      <w:pPr>
        <w:rPr>
          <w:b/>
          <w:lang w:val="es-CO"/>
        </w:rPr>
      </w:pPr>
      <w:r w:rsidRPr="00574349">
        <w:rPr>
          <w:b/>
          <w:bCs/>
          <w:lang w:val="es-CO"/>
        </w:rPr>
        <w:br w:type="page"/>
      </w: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bottom w:w="115" w:type="dxa"/>
        </w:tblCellMar>
        <w:tblLook w:val="04A0" w:firstRow="1" w:lastRow="0" w:firstColumn="1" w:lastColumn="0" w:noHBand="0" w:noVBand="1"/>
      </w:tblPr>
      <w:tblGrid>
        <w:gridCol w:w="4675"/>
        <w:gridCol w:w="4675"/>
      </w:tblGrid>
      <w:tr w:rsidR="00E50B13" w:rsidRPr="00574349" w14:paraId="1B804A4F" w14:textId="77777777" w:rsidTr="004E4EA9">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38241E33" w14:textId="63DD28EF" w:rsidR="00E50B13" w:rsidRPr="00574349" w:rsidRDefault="00E50B13" w:rsidP="00E50B13">
            <w:pPr>
              <w:pStyle w:val="TableColumnHeaders"/>
              <w:rPr>
                <w:lang w:val="es-CO"/>
              </w:rPr>
            </w:pPr>
            <w:r w:rsidRPr="00574349">
              <w:rPr>
                <w:bCs/>
                <w:lang w:val="es-CO"/>
              </w:rPr>
              <w:lastRenderedPageBreak/>
              <w:t>Escenario 5</w:t>
            </w:r>
          </w:p>
        </w:tc>
        <w:tc>
          <w:tcPr>
            <w:tcW w:w="2500" w:type="pct"/>
            <w:tcBorders>
              <w:top w:val="dashSmallGap"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5CA75BF9" w14:textId="3B396083" w:rsidR="00E50B13" w:rsidRPr="00574349" w:rsidRDefault="00E50B13" w:rsidP="00E50B13">
            <w:pPr>
              <w:pStyle w:val="TableColumnHeaders"/>
              <w:rPr>
                <w:lang w:val="es-CO"/>
              </w:rPr>
            </w:pPr>
            <w:r w:rsidRPr="00574349">
              <w:rPr>
                <w:bCs/>
                <w:lang w:val="es-CO"/>
              </w:rPr>
              <w:t>Escenario 6</w:t>
            </w:r>
          </w:p>
        </w:tc>
      </w:tr>
      <w:tr w:rsidR="00E50B13" w:rsidRPr="00574349" w14:paraId="6D7A2420" w14:textId="77777777" w:rsidTr="00B71090">
        <w:trPr>
          <w:trHeight w:val="5256"/>
        </w:trPr>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vAlign w:val="center"/>
          </w:tcPr>
          <w:p w14:paraId="43D44C64" w14:textId="4D7B4A3A" w:rsidR="006F70FC" w:rsidRPr="00574349" w:rsidRDefault="00A54254" w:rsidP="008B76BC">
            <w:pPr>
              <w:pStyle w:val="TableData"/>
              <w:spacing w:line="276" w:lineRule="auto"/>
              <w:rPr>
                <w:lang w:val="es-CO"/>
              </w:rPr>
            </w:pPr>
            <w:r w:rsidRPr="00574349">
              <w:rPr>
                <w:lang w:val="es-CO"/>
              </w:rPr>
              <w:t>Eres profesor de geografía en la OU y tu área de especialización es la geografía humana, concretamente las tendencias demográficas en los Estados Unidos. Necesitas esta información para un estudio que ayudará a los gobiernos municipales y estatales a decidir dónde deben construirse edificios, como complejos de apartamentos y hospitales.</w:t>
            </w:r>
            <w:r w:rsidRPr="00574349">
              <w:rPr>
                <w:rFonts w:ascii="Helvetica" w:hAnsi="Helvetica"/>
                <w:color w:val="3C4043"/>
                <w:sz w:val="21"/>
                <w:szCs w:val="21"/>
                <w:shd w:val="clear" w:color="auto" w:fill="FFFFFF"/>
                <w:lang w:val="es-CO"/>
              </w:rPr>
              <w:t xml:space="preserve"> </w:t>
            </w:r>
            <w:r w:rsidRPr="00574349">
              <w:rPr>
                <w:lang w:val="es-CO"/>
              </w:rPr>
              <w:t>Utiliza el modelo</w:t>
            </w:r>
            <w:r w:rsidRPr="00574349">
              <w:rPr>
                <w:lang w:val="es-CO"/>
              </w:rPr>
              <w:object w:dxaOrig="1219" w:dyaOrig="360" w14:anchorId="37C35E3C">
                <v:shape id="_x0000_i1033" type="#_x0000_t75" style="width:60.45pt;height:17.65pt" o:ole="">
                  <v:imagedata r:id="rId24" o:title=""/>
                </v:shape>
                <o:OLEObject Type="Embed" ProgID="Equation.DSMT4" ShapeID="_x0000_i1033" DrawAspect="Content" ObjectID="_1716207906" r:id="rId25"/>
              </w:object>
            </w:r>
            <w:r w:rsidRPr="00574349">
              <w:rPr>
                <w:lang w:val="es-CO"/>
              </w:rPr>
              <w:t xml:space="preserve">, donde </w:t>
            </w:r>
            <w:r w:rsidRPr="00574349">
              <w:rPr>
                <w:lang w:val="es-CO"/>
              </w:rPr>
              <w:object w:dxaOrig="220" w:dyaOrig="260" w14:anchorId="11497083">
                <v:shape id="_x0000_i1034" type="#_x0000_t75" style="width:11.55pt;height:12.9pt" o:ole="">
                  <v:imagedata r:id="rId26" o:title=""/>
                </v:shape>
                <o:OLEObject Type="Embed" ProgID="Equation.DSMT4" ShapeID="_x0000_i1034" DrawAspect="Content" ObjectID="_1716207907" r:id="rId27"/>
              </w:object>
            </w:r>
            <w:r w:rsidRPr="00574349">
              <w:rPr>
                <w:lang w:val="es-CO"/>
              </w:rPr>
              <w:t xml:space="preserve"> es la población de EE.UU. en millones de personas, y </w:t>
            </w:r>
            <w:r w:rsidRPr="00574349">
              <w:rPr>
                <w:lang w:val="es-CO"/>
              </w:rPr>
              <w:object w:dxaOrig="139" w:dyaOrig="240" w14:anchorId="3583A0CE">
                <v:shape id="_x0000_i1035" type="#_x0000_t75" style="width:7.45pt;height:12.9pt" o:ole="">
                  <v:imagedata r:id="rId10" o:title=""/>
                </v:shape>
                <o:OLEObject Type="Embed" ProgID="Equation.DSMT4" ShapeID="_x0000_i1035" DrawAspect="Content" ObjectID="_1716207908" r:id="rId28"/>
              </w:object>
            </w:r>
            <w:r w:rsidRPr="00574349">
              <w:rPr>
                <w:lang w:val="es-CO"/>
              </w:rPr>
              <w:t xml:space="preserve"> es el tiempo en años desde el 2000, para determinar en qué año la población superará los 350 millones de personas.</w:t>
            </w:r>
          </w:p>
          <w:p w14:paraId="5AB3A3CE" w14:textId="77777777" w:rsidR="005B309A" w:rsidRPr="00574349" w:rsidRDefault="005B309A" w:rsidP="008B76BC">
            <w:pPr>
              <w:pStyle w:val="TableData"/>
              <w:spacing w:line="276" w:lineRule="auto"/>
              <w:rPr>
                <w:lang w:val="es-CO"/>
              </w:rPr>
            </w:pPr>
          </w:p>
          <w:p w14:paraId="42C0D81D" w14:textId="2BDFB77A" w:rsidR="003642F5" w:rsidRPr="00574349" w:rsidRDefault="003642F5" w:rsidP="008B76BC">
            <w:pPr>
              <w:pStyle w:val="TableData"/>
              <w:spacing w:line="276" w:lineRule="auto"/>
              <w:rPr>
                <w:lang w:val="es-CO"/>
              </w:rPr>
            </w:pPr>
            <w:r w:rsidRPr="00574349">
              <w:rPr>
                <w:b/>
                <w:bCs/>
                <w:i/>
                <w:iCs/>
                <w:lang w:val="es-CO"/>
              </w:rPr>
              <w:t>Pista</w:t>
            </w:r>
            <w:r w:rsidRPr="00574349">
              <w:rPr>
                <w:lang w:val="es-CO"/>
              </w:rPr>
              <w:t xml:space="preserve">: 10.3 años después del año 2000 es 2011. </w:t>
            </w:r>
          </w:p>
        </w:tc>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vAlign w:val="center"/>
          </w:tcPr>
          <w:p w14:paraId="7B2FA281" w14:textId="11042681" w:rsidR="001C23D4" w:rsidRPr="00574349" w:rsidRDefault="005B309A" w:rsidP="008B76BC">
            <w:pPr>
              <w:pStyle w:val="TableData"/>
              <w:spacing w:line="276" w:lineRule="auto"/>
              <w:rPr>
                <w:lang w:val="es-CO"/>
              </w:rPr>
            </w:pPr>
            <w:r w:rsidRPr="00574349">
              <w:rPr>
                <w:lang w:val="es-CO"/>
              </w:rPr>
              <w:t>Acabas de abrir una pizzería y quieres informar a tus clientes del tiempo que tarda tu pizza en estar lista para comer después de hacer un pedido. Sin embargo, debes asegurarte de que tus clientes no se quemen la boca comiendo la pizza antes de que se haya enfriado. Ya sabes cuánto tiempo tarda en cocinarse la pizza en su horno de ladrillo, pero necesitas determinar cuánto tiempo tarda la pizza en alcanzar una temperatura ideal</w:t>
            </w:r>
            <w:r w:rsidRPr="00574349">
              <w:rPr>
                <w:rFonts w:ascii="Calibri" w:hAnsi="Calibri"/>
                <w:color w:val="000000"/>
                <w:lang w:val="es-CO"/>
              </w:rPr>
              <w:t xml:space="preserve"> </w:t>
            </w:r>
            <w:r w:rsidRPr="00574349">
              <w:rPr>
                <w:lang w:val="es-CO"/>
              </w:rPr>
              <w:t xml:space="preserve">de 140°F. La temperatura de una pizza tras salir del horno puede modelarse mediante </w:t>
            </w:r>
            <w:r w:rsidRPr="00574349">
              <w:rPr>
                <w:lang w:val="es-CO"/>
              </w:rPr>
              <w:object w:dxaOrig="1760" w:dyaOrig="360" w14:anchorId="480A826E">
                <v:shape id="_x0000_i1036" type="#_x0000_t75" style="width:88.3pt;height:17.65pt" o:ole="">
                  <v:imagedata r:id="rId29" o:title=""/>
                </v:shape>
                <o:OLEObject Type="Embed" ProgID="Equation.DSMT4" ShapeID="_x0000_i1036" DrawAspect="Content" ObjectID="_1716207909" r:id="rId30"/>
              </w:object>
            </w:r>
            <w:r w:rsidRPr="00574349">
              <w:rPr>
                <w:lang w:val="es-CO"/>
              </w:rPr>
              <w:t xml:space="preserve">, donde </w:t>
            </w:r>
            <w:r w:rsidRPr="00574349">
              <w:rPr>
                <w:lang w:val="es-CO"/>
              </w:rPr>
              <w:object w:dxaOrig="139" w:dyaOrig="240" w14:anchorId="563A7EB7">
                <v:shape id="_x0000_i1037" type="#_x0000_t75" style="width:7.45pt;height:12.9pt" o:ole="">
                  <v:imagedata r:id="rId10" o:title=""/>
                </v:shape>
                <o:OLEObject Type="Embed" ProgID="Equation.DSMT4" ShapeID="_x0000_i1037" DrawAspect="Content" ObjectID="_1716207910" r:id="rId31"/>
              </w:object>
            </w:r>
            <w:r w:rsidRPr="00574349">
              <w:rPr>
                <w:lang w:val="es-CO"/>
              </w:rPr>
              <w:t xml:space="preserve"> es el tiempo en minutos. Utiliza el modelo para encontrar el tiempo que tarda tu pizza en alcanzar esa temperatura ideal.</w:t>
            </w:r>
          </w:p>
        </w:tc>
      </w:tr>
      <w:tr w:rsidR="00CC4AC8" w:rsidRPr="00574349" w14:paraId="7471BF63" w14:textId="77777777" w:rsidTr="004E4EA9">
        <w:trPr>
          <w:trHeight w:val="245"/>
        </w:trPr>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7C1CFF42" w14:textId="700CB7D1" w:rsidR="00CC4AC8" w:rsidRPr="00574349" w:rsidRDefault="00CC4AC8" w:rsidP="00CC4AC8">
            <w:pPr>
              <w:pStyle w:val="TableColumnHeaders"/>
              <w:rPr>
                <w:lang w:val="es-CO"/>
              </w:rPr>
            </w:pPr>
            <w:r w:rsidRPr="00574349">
              <w:rPr>
                <w:bCs/>
                <w:lang w:val="es-CO"/>
              </w:rPr>
              <w:t>Escenario 7</w:t>
            </w:r>
          </w:p>
        </w:tc>
        <w:tc>
          <w:tcPr>
            <w:tcW w:w="2500" w:type="pct"/>
            <w:tcBorders>
              <w:top w:val="single" w:sz="4" w:space="0" w:color="BED7D3" w:themeColor="accent3"/>
              <w:left w:val="dashSmallGap" w:sz="4" w:space="0" w:color="BED7D3" w:themeColor="accent3"/>
              <w:bottom w:val="single" w:sz="4" w:space="0" w:color="BED7D3" w:themeColor="accent3"/>
              <w:right w:val="dashSmallGap" w:sz="4" w:space="0" w:color="BED7D3" w:themeColor="accent3"/>
            </w:tcBorders>
            <w:shd w:val="clear" w:color="auto" w:fill="3E5C61" w:themeFill="text2"/>
          </w:tcPr>
          <w:p w14:paraId="7F798860" w14:textId="713B01AA" w:rsidR="00CC4AC8" w:rsidRPr="00574349" w:rsidRDefault="00CC4AC8" w:rsidP="00CC4AC8">
            <w:pPr>
              <w:pStyle w:val="TableColumnHeaders"/>
              <w:rPr>
                <w:lang w:val="es-CO"/>
              </w:rPr>
            </w:pPr>
            <w:r w:rsidRPr="00574349">
              <w:rPr>
                <w:bCs/>
                <w:lang w:val="es-CO"/>
              </w:rPr>
              <w:t>Escenario 8</w:t>
            </w:r>
          </w:p>
        </w:tc>
      </w:tr>
      <w:tr w:rsidR="00CC4AC8" w:rsidRPr="00574349" w14:paraId="4311C86E" w14:textId="77777777" w:rsidTr="00574349">
        <w:trPr>
          <w:trHeight w:val="955"/>
        </w:trPr>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40523D1F" w14:textId="771E2F38" w:rsidR="00090DE2" w:rsidRPr="00574349" w:rsidRDefault="005B309A" w:rsidP="008B76BC">
            <w:pPr>
              <w:pStyle w:val="TableData"/>
              <w:spacing w:line="276" w:lineRule="auto"/>
              <w:rPr>
                <w:lang w:val="es-CO"/>
              </w:rPr>
            </w:pPr>
            <w:r w:rsidRPr="00574349">
              <w:rPr>
                <w:sz w:val="23"/>
                <w:szCs w:val="23"/>
                <w:lang w:val="es-CO"/>
              </w:rPr>
              <w:t>Tienes un estudio de arte y una boutique especializada en joyería de cerámica, decoración del hogar y utensilios de cocina. Recientemente, un cliente hizo un gran pedido de 200 baldosas de barro cocido que tiene previsto instalar profesionalmente en el suelo de su baño. Para cumplir con este pedido, es necesario hornear cada lote de baldosas de arcilla a 2.400 °F. La temperatura de las baldosas después de ser retiradas del horno</w:t>
            </w:r>
            <w:r w:rsidRPr="00574349">
              <w:rPr>
                <w:lang w:val="es-CO"/>
              </w:rPr>
              <w:t xml:space="preserve"> </w:t>
            </w:r>
            <w:r w:rsidRPr="00574349">
              <w:rPr>
                <w:lang w:val="es-CO"/>
              </w:rPr>
              <w:br/>
              <w:t xml:space="preserve">puede ser modelada por  </w:t>
            </w:r>
            <w:r w:rsidRPr="00574349">
              <w:rPr>
                <w:lang w:val="es-CO"/>
              </w:rPr>
              <w:object w:dxaOrig="1900" w:dyaOrig="360" w14:anchorId="697A2231">
                <v:shape id="_x0000_i1640" type="#_x0000_t75" style="width:95.1pt;height:17.65pt" o:ole="">
                  <v:imagedata r:id="rId32" o:title=""/>
                </v:shape>
                <o:OLEObject Type="Embed" ProgID="Equation.DSMT4" ShapeID="_x0000_i1640" DrawAspect="Content" ObjectID="_1716207911" r:id="rId33"/>
              </w:object>
            </w:r>
            <w:r w:rsidRPr="00574349">
              <w:rPr>
                <w:lang w:val="es-CO"/>
              </w:rPr>
              <w:t xml:space="preserve">, donde </w:t>
            </w:r>
            <w:r w:rsidRPr="00574349">
              <w:rPr>
                <w:lang w:val="es-CO"/>
              </w:rPr>
              <w:object w:dxaOrig="139" w:dyaOrig="240" w14:anchorId="7141B904">
                <v:shape id="_x0000_i1641" type="#_x0000_t75" style="width:7.45pt;height:12.9pt" o:ole="">
                  <v:imagedata r:id="rId34" o:title=""/>
                </v:shape>
                <o:OLEObject Type="Embed" ProgID="Equation.DSMT4" ShapeID="_x0000_i1641" DrawAspect="Content" ObjectID="_1716207912" r:id="rId35"/>
              </w:object>
            </w:r>
            <w:r w:rsidRPr="00574349">
              <w:rPr>
                <w:lang w:val="es-CO"/>
              </w:rPr>
              <w:t xml:space="preserve"> es el tiempo en horas. Determina el tiempo que tarda cada lote de baldosas en alcanzar una temperatura segura al tacto, que es de 100 °F.</w:t>
            </w:r>
          </w:p>
        </w:tc>
        <w:tc>
          <w:tcPr>
            <w:tcW w:w="2500" w:type="pct"/>
            <w:tcBorders>
              <w:top w:val="single" w:sz="4" w:space="0" w:color="BED7D3" w:themeColor="accent3"/>
              <w:left w:val="dashSmallGap" w:sz="4" w:space="0" w:color="BED7D3" w:themeColor="accent3"/>
              <w:bottom w:val="dashSmallGap" w:sz="4" w:space="0" w:color="BED7D3" w:themeColor="accent3"/>
              <w:right w:val="dashSmallGap" w:sz="4" w:space="0" w:color="BED7D3" w:themeColor="accent3"/>
            </w:tcBorders>
            <w:vAlign w:val="center"/>
          </w:tcPr>
          <w:p w14:paraId="2DFFA2B5" w14:textId="200B934A" w:rsidR="00D03EAD" w:rsidRPr="00574349" w:rsidRDefault="008D1E27" w:rsidP="00574349">
            <w:pPr>
              <w:pStyle w:val="TableData"/>
              <w:spacing w:line="276" w:lineRule="auto"/>
              <w:rPr>
                <w:lang w:val="es-CO"/>
              </w:rPr>
            </w:pPr>
            <w:r w:rsidRPr="00574349">
              <w:rPr>
                <w:sz w:val="20"/>
                <w:szCs w:val="20"/>
                <w:lang w:val="es-CO"/>
              </w:rPr>
              <w:t>T</w:t>
            </w:r>
            <w:r w:rsidRPr="00574349">
              <w:rPr>
                <w:sz w:val="22"/>
                <w:lang w:val="es-CO"/>
              </w:rPr>
              <w:t xml:space="preserve">u amiga arqueóloga te trae un trozo de madera que, según ella, es de un barco que se hundió en la Guerra de 1812. Tienes el equipo para determinar la cantidad actual de carbono-14 en la madera, y encuentras que es el 98% de lo que probablemente tenía cuando el árbol fue cortado inicialmente. El carbono 14 es un elemento que se renueva constantemente en los seres vivos, incluidos los árboles. Después de la muerte, el carbono-14 ya no se produce. La cantidad de carbono-14 en la materia en descomposición puede modelarse mediante </w:t>
            </w:r>
            <w:r w:rsidRPr="00574349">
              <w:rPr>
                <w:sz w:val="22"/>
                <w:lang w:val="es-CO"/>
              </w:rPr>
              <w:object w:dxaOrig="940" w:dyaOrig="380" w14:anchorId="51FB8C6D">
                <v:shape id="_x0000_i1642" type="#_x0000_t75" style="width:47.55pt;height:19pt" o:ole="">
                  <v:imagedata r:id="rId36" o:title=""/>
                </v:shape>
                <o:OLEObject Type="Embed" ProgID="Equation.DSMT4" ShapeID="_x0000_i1642" DrawAspect="Content" ObjectID="_1716207913" r:id="rId37"/>
              </w:object>
            </w:r>
            <w:r w:rsidRPr="00574349">
              <w:rPr>
                <w:sz w:val="22"/>
                <w:lang w:val="es-CO"/>
              </w:rPr>
              <w:t xml:space="preserve">, donde </w:t>
            </w:r>
            <w:r w:rsidRPr="00574349">
              <w:rPr>
                <w:sz w:val="22"/>
                <w:lang w:val="es-CO"/>
              </w:rPr>
              <w:object w:dxaOrig="300" w:dyaOrig="360" w14:anchorId="3331290A">
                <v:shape id="_x0000_i1643" type="#_x0000_t75" style="width:14.95pt;height:17.65pt" o:ole="">
                  <v:imagedata r:id="rId38" o:title=""/>
                </v:shape>
                <o:OLEObject Type="Embed" ProgID="Equation.DSMT4" ShapeID="_x0000_i1643" DrawAspect="Content" ObjectID="_1716207914" r:id="rId39"/>
              </w:object>
            </w:r>
            <w:r w:rsidRPr="00574349">
              <w:rPr>
                <w:sz w:val="22"/>
                <w:lang w:val="es-CO"/>
              </w:rPr>
              <w:t xml:space="preserve"> es la cantidad inicial de carbono-14, </w:t>
            </w:r>
            <w:r w:rsidRPr="00574349">
              <w:rPr>
                <w:sz w:val="22"/>
                <w:lang w:val="es-CO"/>
              </w:rPr>
              <w:object w:dxaOrig="139" w:dyaOrig="240" w14:anchorId="3C2F29FA">
                <v:shape id="_x0000_i1644" type="#_x0000_t75" style="width:7.45pt;height:12.9pt" o:ole="">
                  <v:imagedata r:id="rId40" o:title=""/>
                </v:shape>
                <o:OLEObject Type="Embed" ProgID="Equation.DSMT4" ShapeID="_x0000_i1644" DrawAspect="Content" ObjectID="_1716207915" r:id="rId41"/>
              </w:object>
            </w:r>
            <w:r w:rsidRPr="00574349">
              <w:rPr>
                <w:sz w:val="22"/>
                <w:lang w:val="es-CO"/>
              </w:rPr>
              <w:t xml:space="preserve"> es el tiempo en años y </w:t>
            </w:r>
            <w:r w:rsidRPr="00574349">
              <w:rPr>
                <w:sz w:val="22"/>
                <w:lang w:val="es-CO"/>
              </w:rPr>
              <w:object w:dxaOrig="180" w:dyaOrig="200" w14:anchorId="53942D97">
                <v:shape id="_x0000_i1645" type="#_x0000_t75" style="width:8.15pt;height:9.5pt" o:ole="">
                  <v:imagedata r:id="rId42" o:title=""/>
                </v:shape>
                <o:OLEObject Type="Embed" ProgID="Equation.DSMT4" ShapeID="_x0000_i1645" DrawAspect="Content" ObjectID="_1716207916" r:id="rId43"/>
              </w:object>
            </w:r>
            <w:r w:rsidRPr="00574349">
              <w:rPr>
                <w:sz w:val="22"/>
                <w:lang w:val="es-CO"/>
              </w:rPr>
              <w:t xml:space="preserve"> es la tasa de </w:t>
            </w:r>
            <w:r w:rsidRPr="00574349">
              <w:rPr>
                <w:sz w:val="22"/>
                <w:lang w:val="es-CO"/>
              </w:rPr>
              <w:lastRenderedPageBreak/>
              <w:t xml:space="preserve">descomposición, que es </w:t>
            </w:r>
            <w:r w:rsidRPr="00574349">
              <w:rPr>
                <w:sz w:val="22"/>
                <w:lang w:val="es-CO"/>
              </w:rPr>
              <w:object w:dxaOrig="840" w:dyaOrig="279" w14:anchorId="76A5DBDC">
                <v:shape id="_x0000_i1646" type="#_x0000_t75" style="width:42.8pt;height:12.9pt" o:ole="">
                  <v:imagedata r:id="rId44" o:title=""/>
                </v:shape>
                <o:OLEObject Type="Embed" ProgID="Equation.DSMT4" ShapeID="_x0000_i1646" DrawAspect="Content" ObjectID="_1716207917" r:id="rId45"/>
              </w:object>
            </w:r>
            <w:r w:rsidRPr="00574349">
              <w:rPr>
                <w:sz w:val="22"/>
                <w:lang w:val="es-CO"/>
              </w:rPr>
              <w:t>. Determina si la afirmación de tu amigo es realista.</w:t>
            </w:r>
          </w:p>
        </w:tc>
      </w:tr>
    </w:tbl>
    <w:p w14:paraId="1C6843CD" w14:textId="2F52EC15" w:rsidR="00A32E1D" w:rsidRPr="00574349" w:rsidRDefault="00A32E1D" w:rsidP="009D6E8D">
      <w:pPr>
        <w:rPr>
          <w:lang w:val="es-CO"/>
        </w:rPr>
      </w:pPr>
    </w:p>
    <w:sectPr w:rsidR="00A32E1D" w:rsidRPr="00574349" w:rsidSect="006E305E">
      <w:footerReference w:type="default" r:id="rId46"/>
      <w:pgSz w:w="12240" w:h="15840"/>
      <w:pgMar w:top="144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280F" w14:textId="77777777" w:rsidR="004919BB" w:rsidRDefault="004919BB" w:rsidP="00293785">
      <w:pPr>
        <w:spacing w:after="0" w:line="240" w:lineRule="auto"/>
      </w:pPr>
      <w:r>
        <w:separator/>
      </w:r>
    </w:p>
  </w:endnote>
  <w:endnote w:type="continuationSeparator" w:id="0">
    <w:p w14:paraId="7DF230C9" w14:textId="77777777" w:rsidR="004919BB" w:rsidRDefault="004919B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AE2F"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8C49330" wp14:editId="184F67C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7CB129A" w14:textId="24CE0F39" w:rsidR="00293785" w:rsidRDefault="00574349" w:rsidP="00D106FF">
                          <w:pPr>
                            <w:pStyle w:val="LessonFooter"/>
                          </w:pPr>
                          <w:sdt>
                            <w:sdtPr>
                              <w:alias w:val="Title"/>
                              <w:tag w:val=""/>
                              <w:id w:val="1281607793"/>
                              <w:placeholder>
                                <w:docPart w:val="3B1EEAEE5BAF457981AB4E2DF2034949"/>
                              </w:placeholder>
                              <w:dataBinding w:prefixMappings="xmlns:ns0='http://purl.org/dc/elements/1.1/' xmlns:ns1='http://schemas.openxmlformats.org/package/2006/metadata/core-properties' " w:xpath="/ns1:coreProperties[1]/ns0:title[1]" w:storeItemID="{6C3C8BC8-F283-45AE-878A-BAB7291924A1}"/>
                              <w:text/>
                            </w:sdtPr>
                            <w:sdtEndPr/>
                            <w:sdtContent>
                              <w:r w:rsidR="004919BB">
                                <w:rPr>
                                  <w:bCs/>
                                  <w:lang w:val="es"/>
                                </w:rPr>
                                <w:t>All About That Base,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4933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7CB129A" w14:textId="24CE0F39" w:rsidR="00293785" w:rsidRDefault="00804B19" w:rsidP="00D106FF">
                    <w:pPr>
                      <w:pStyle w:val="LessonFooter"/>
                      <w:bidi w:val="0"/>
                    </w:pPr>
                    <w:sdt>
                      <w:sdtPr>
                        <w:alias w:val="Title"/>
                        <w:tag w:val=""/>
                        <w:id w:val="1281607793"/>
                        <w:placeholder>
                          <w:docPart w:val="3B1EEAEE5BAF457981AB4E2DF2034949"/>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All About That Base, Part 1</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94D7192" wp14:editId="6B0AC8E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0E25" w14:textId="77777777" w:rsidR="004919BB" w:rsidRDefault="004919BB" w:rsidP="00293785">
      <w:pPr>
        <w:spacing w:after="0" w:line="240" w:lineRule="auto"/>
      </w:pPr>
      <w:r>
        <w:separator/>
      </w:r>
    </w:p>
  </w:footnote>
  <w:footnote w:type="continuationSeparator" w:id="0">
    <w:p w14:paraId="470DC83E" w14:textId="77777777" w:rsidR="004919BB" w:rsidRDefault="004919B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293249">
    <w:abstractNumId w:val="6"/>
  </w:num>
  <w:num w:numId="2" w16cid:durableId="2031758029">
    <w:abstractNumId w:val="7"/>
  </w:num>
  <w:num w:numId="3" w16cid:durableId="1636066033">
    <w:abstractNumId w:val="0"/>
  </w:num>
  <w:num w:numId="4" w16cid:durableId="1733116521">
    <w:abstractNumId w:val="2"/>
  </w:num>
  <w:num w:numId="5" w16cid:durableId="893201195">
    <w:abstractNumId w:val="3"/>
  </w:num>
  <w:num w:numId="6" w16cid:durableId="1349333869">
    <w:abstractNumId w:val="5"/>
  </w:num>
  <w:num w:numId="7" w16cid:durableId="841314690">
    <w:abstractNumId w:val="4"/>
  </w:num>
  <w:num w:numId="8" w16cid:durableId="1099373245">
    <w:abstractNumId w:val="8"/>
  </w:num>
  <w:num w:numId="9" w16cid:durableId="456801122">
    <w:abstractNumId w:val="9"/>
  </w:num>
  <w:num w:numId="10" w16cid:durableId="1556895860">
    <w:abstractNumId w:val="10"/>
  </w:num>
  <w:num w:numId="11" w16cid:durableId="84482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1D"/>
    <w:rsid w:val="0004006F"/>
    <w:rsid w:val="00053775"/>
    <w:rsid w:val="0005619A"/>
    <w:rsid w:val="000820C2"/>
    <w:rsid w:val="0008589D"/>
    <w:rsid w:val="00090DE2"/>
    <w:rsid w:val="00100D34"/>
    <w:rsid w:val="0011259B"/>
    <w:rsid w:val="00116FDD"/>
    <w:rsid w:val="00125621"/>
    <w:rsid w:val="00133E58"/>
    <w:rsid w:val="0015434D"/>
    <w:rsid w:val="001842BC"/>
    <w:rsid w:val="001902E3"/>
    <w:rsid w:val="00195BF4"/>
    <w:rsid w:val="001A2A62"/>
    <w:rsid w:val="001C23D4"/>
    <w:rsid w:val="001D0BBF"/>
    <w:rsid w:val="001E1F85"/>
    <w:rsid w:val="001F125D"/>
    <w:rsid w:val="00203C00"/>
    <w:rsid w:val="002345CC"/>
    <w:rsid w:val="00247CB7"/>
    <w:rsid w:val="0025062A"/>
    <w:rsid w:val="00285651"/>
    <w:rsid w:val="00293785"/>
    <w:rsid w:val="002C05CB"/>
    <w:rsid w:val="002C0879"/>
    <w:rsid w:val="002C37B4"/>
    <w:rsid w:val="00331B86"/>
    <w:rsid w:val="00331B9D"/>
    <w:rsid w:val="003349BE"/>
    <w:rsid w:val="0036040A"/>
    <w:rsid w:val="003642F5"/>
    <w:rsid w:val="00367C6E"/>
    <w:rsid w:val="00397FA9"/>
    <w:rsid w:val="003A45F2"/>
    <w:rsid w:val="003E058D"/>
    <w:rsid w:val="003E446A"/>
    <w:rsid w:val="00427F13"/>
    <w:rsid w:val="00446C13"/>
    <w:rsid w:val="004919BB"/>
    <w:rsid w:val="004E4EA9"/>
    <w:rsid w:val="004E777F"/>
    <w:rsid w:val="004F44FE"/>
    <w:rsid w:val="004F5C02"/>
    <w:rsid w:val="005078B4"/>
    <w:rsid w:val="0053328A"/>
    <w:rsid w:val="00540FC6"/>
    <w:rsid w:val="005511B6"/>
    <w:rsid w:val="00553C98"/>
    <w:rsid w:val="0055568A"/>
    <w:rsid w:val="0056257E"/>
    <w:rsid w:val="0057279A"/>
    <w:rsid w:val="00574349"/>
    <w:rsid w:val="005A7635"/>
    <w:rsid w:val="005B309A"/>
    <w:rsid w:val="005B78E9"/>
    <w:rsid w:val="005D2EEC"/>
    <w:rsid w:val="00614931"/>
    <w:rsid w:val="00617F4C"/>
    <w:rsid w:val="00633B82"/>
    <w:rsid w:val="00645D7F"/>
    <w:rsid w:val="00656940"/>
    <w:rsid w:val="00665274"/>
    <w:rsid w:val="00666C03"/>
    <w:rsid w:val="00686DAB"/>
    <w:rsid w:val="006B0723"/>
    <w:rsid w:val="006B4CC2"/>
    <w:rsid w:val="006C552C"/>
    <w:rsid w:val="006E1542"/>
    <w:rsid w:val="006E305E"/>
    <w:rsid w:val="006F70FC"/>
    <w:rsid w:val="007101FB"/>
    <w:rsid w:val="00721EA4"/>
    <w:rsid w:val="00730C6B"/>
    <w:rsid w:val="00746769"/>
    <w:rsid w:val="00797CB5"/>
    <w:rsid w:val="007B055F"/>
    <w:rsid w:val="007E02B6"/>
    <w:rsid w:val="007E6F1D"/>
    <w:rsid w:val="00804B19"/>
    <w:rsid w:val="00872BBB"/>
    <w:rsid w:val="00880013"/>
    <w:rsid w:val="00881716"/>
    <w:rsid w:val="008920A4"/>
    <w:rsid w:val="008B76BC"/>
    <w:rsid w:val="008D1E27"/>
    <w:rsid w:val="008F5386"/>
    <w:rsid w:val="00905FB1"/>
    <w:rsid w:val="00913172"/>
    <w:rsid w:val="009624AC"/>
    <w:rsid w:val="00981E19"/>
    <w:rsid w:val="009825F1"/>
    <w:rsid w:val="009830DB"/>
    <w:rsid w:val="009B52E4"/>
    <w:rsid w:val="009D08F7"/>
    <w:rsid w:val="009D6E8D"/>
    <w:rsid w:val="00A101E8"/>
    <w:rsid w:val="00A2515E"/>
    <w:rsid w:val="00A32E1D"/>
    <w:rsid w:val="00A432D0"/>
    <w:rsid w:val="00A54254"/>
    <w:rsid w:val="00AA61F0"/>
    <w:rsid w:val="00AC349E"/>
    <w:rsid w:val="00AE2F82"/>
    <w:rsid w:val="00B71090"/>
    <w:rsid w:val="00B91A47"/>
    <w:rsid w:val="00B92DBF"/>
    <w:rsid w:val="00BA1B6C"/>
    <w:rsid w:val="00BD119F"/>
    <w:rsid w:val="00C16172"/>
    <w:rsid w:val="00C20F65"/>
    <w:rsid w:val="00C73EA1"/>
    <w:rsid w:val="00C8524A"/>
    <w:rsid w:val="00CB1646"/>
    <w:rsid w:val="00CC4AC8"/>
    <w:rsid w:val="00CC4F77"/>
    <w:rsid w:val="00CD3CF6"/>
    <w:rsid w:val="00CE336D"/>
    <w:rsid w:val="00CF1614"/>
    <w:rsid w:val="00CF34A7"/>
    <w:rsid w:val="00D03EAD"/>
    <w:rsid w:val="00D106FF"/>
    <w:rsid w:val="00D16C0E"/>
    <w:rsid w:val="00D269D8"/>
    <w:rsid w:val="00D315B7"/>
    <w:rsid w:val="00D32775"/>
    <w:rsid w:val="00D359AC"/>
    <w:rsid w:val="00D626EB"/>
    <w:rsid w:val="00D63503"/>
    <w:rsid w:val="00D92A11"/>
    <w:rsid w:val="00DA20BE"/>
    <w:rsid w:val="00DB5B5F"/>
    <w:rsid w:val="00DC7A6D"/>
    <w:rsid w:val="00E50B13"/>
    <w:rsid w:val="00E66D67"/>
    <w:rsid w:val="00E9040A"/>
    <w:rsid w:val="00E9171A"/>
    <w:rsid w:val="00EA74D2"/>
    <w:rsid w:val="00EC5418"/>
    <w:rsid w:val="00EC6C78"/>
    <w:rsid w:val="00ED24C8"/>
    <w:rsid w:val="00F32284"/>
    <w:rsid w:val="00F377E2"/>
    <w:rsid w:val="00F445DA"/>
    <w:rsid w:val="00F50748"/>
    <w:rsid w:val="00F72D02"/>
    <w:rsid w:val="00F737E1"/>
    <w:rsid w:val="00F90CCD"/>
    <w:rsid w:val="00FB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52A5E4FF"/>
  <w15:docId w15:val="{473F988F-EBEF-47AB-AC0E-4413FFF7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CF34A7"/>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glossaryDocument" Target="glossary/document.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EEAEE5BAF457981AB4E2DF2034949"/>
        <w:category>
          <w:name w:val="General"/>
          <w:gallery w:val="placeholder"/>
        </w:category>
        <w:types>
          <w:type w:val="bbPlcHdr"/>
        </w:types>
        <w:behaviors>
          <w:behavior w:val="content"/>
        </w:behaviors>
        <w:guid w:val="{D1F8AE37-84B0-456E-B95D-E0912C86E558}"/>
      </w:docPartPr>
      <w:docPartBody>
        <w:p w:rsidR="00FB360B" w:rsidRDefault="00FB360B">
          <w:pPr>
            <w:pStyle w:val="3B1EEAEE5BAF457981AB4E2DF203494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0B"/>
    <w:rsid w:val="00DC770E"/>
    <w:rsid w:val="00FB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1EEAEE5BAF457981AB4E2DF2034949">
    <w:name w:val="3B1EEAEE5BAF457981AB4E2DF2034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3072</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All About That Base, Part 1</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About That Base, Part 1</dc:title>
  <dc:creator>k20center@ou.edu</dc:creator>
  <cp:lastModifiedBy>Catalina Otalora</cp:lastModifiedBy>
  <cp:revision>39</cp:revision>
  <cp:lastPrinted>2016-07-14T14:08:00Z</cp:lastPrinted>
  <dcterms:created xsi:type="dcterms:W3CDTF">2021-10-20T12:29:00Z</dcterms:created>
  <dcterms:modified xsi:type="dcterms:W3CDTF">2022-06-08T20:37:00Z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