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pPr w:leftFromText="180" w:rightFromText="180" w:vertAnchor="text" w:tblpY="538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64"/>
        <w:gridCol w:w="3251"/>
        <w:gridCol w:w="3255"/>
        <w:gridCol w:w="3255"/>
        <w:gridCol w:w="3255"/>
      </w:tblGrid>
      <w:tr w:rsidR="00BA24EA" w:rsidRPr="007A2B11" w14:paraId="5C871340" w14:textId="77777777" w:rsidTr="00A5723C">
        <w:trPr>
          <w:tblHeader/>
        </w:trPr>
        <w:tc>
          <w:tcPr>
            <w:tcW w:w="469" w:type="pct"/>
            <w:shd w:val="clear" w:color="auto" w:fill="3E5C61" w:themeFill="accent2"/>
            <w:vAlign w:val="center"/>
          </w:tcPr>
          <w:p w14:paraId="222D1224" w14:textId="56F70492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</w:p>
        </w:tc>
        <w:tc>
          <w:tcPr>
            <w:tcW w:w="1132" w:type="pct"/>
            <w:shd w:val="clear" w:color="auto" w:fill="3E5C61" w:themeFill="accent2"/>
            <w:vAlign w:val="center"/>
          </w:tcPr>
          <w:p w14:paraId="2C6D36AE" w14:textId="7A4C8585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  <w:r>
              <w:rPr>
                <w:bCs/>
                <w:lang w:val="es"/>
              </w:rPr>
              <w:t>Por encima de las expectativas</w:t>
            </w:r>
          </w:p>
        </w:tc>
        <w:tc>
          <w:tcPr>
            <w:tcW w:w="1133" w:type="pct"/>
            <w:shd w:val="clear" w:color="auto" w:fill="3E5C61" w:themeFill="accent2"/>
            <w:vAlign w:val="center"/>
          </w:tcPr>
          <w:p w14:paraId="3EB5AA20" w14:textId="29C3F7C8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  <w:r>
              <w:rPr>
                <w:bCs/>
                <w:lang w:val="es"/>
              </w:rPr>
              <w:t>Cumple con las expectativas</w:t>
            </w:r>
          </w:p>
        </w:tc>
        <w:tc>
          <w:tcPr>
            <w:tcW w:w="1133" w:type="pct"/>
            <w:shd w:val="clear" w:color="auto" w:fill="3E5C61" w:themeFill="accent2"/>
            <w:vAlign w:val="center"/>
          </w:tcPr>
          <w:p w14:paraId="74D76E33" w14:textId="5E0579DD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  <w:r>
              <w:rPr>
                <w:bCs/>
                <w:lang w:val="es"/>
              </w:rPr>
              <w:t>Por debajo de las expectativas</w:t>
            </w:r>
          </w:p>
        </w:tc>
        <w:tc>
          <w:tcPr>
            <w:tcW w:w="1133" w:type="pct"/>
            <w:shd w:val="clear" w:color="auto" w:fill="3E5C61" w:themeFill="accent2"/>
            <w:vAlign w:val="center"/>
          </w:tcPr>
          <w:p w14:paraId="07AB9530" w14:textId="563E49C6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  <w:r>
              <w:rPr>
                <w:bCs/>
                <w:lang w:val="es"/>
              </w:rPr>
              <w:t>No cumple con las expectativas</w:t>
            </w:r>
          </w:p>
        </w:tc>
      </w:tr>
      <w:tr w:rsidR="00BA24EA" w14:paraId="08D05798" w14:textId="77777777" w:rsidTr="00A5723C">
        <w:trPr>
          <w:trHeight w:val="2524"/>
        </w:trPr>
        <w:tc>
          <w:tcPr>
            <w:tcW w:w="469" w:type="pct"/>
            <w:vAlign w:val="center"/>
          </w:tcPr>
          <w:p w14:paraId="44FA5CA9" w14:textId="0AC0A054" w:rsidR="00BA24EA" w:rsidRPr="00BA24EA" w:rsidRDefault="00BA24EA" w:rsidP="00913826">
            <w:pPr>
              <w:pStyle w:val="Heading1"/>
              <w:framePr w:hSpace="0" w:wrap="auto" w:vAnchor="margin" w:yAlign="inline"/>
            </w:pPr>
            <w:r>
              <w:rPr>
                <w:bCs/>
                <w:lang w:val="es"/>
              </w:rPr>
              <w:t>Contenido y conceptos</w:t>
            </w:r>
          </w:p>
        </w:tc>
        <w:tc>
          <w:tcPr>
            <w:tcW w:w="1132" w:type="pct"/>
            <w:vAlign w:val="center"/>
          </w:tcPr>
          <w:p w14:paraId="6E614C0F" w14:textId="5A27B994" w:rsidR="00913826" w:rsidRDefault="003A2E8D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Cumple con las expectativas </w:t>
            </w:r>
            <w:r>
              <w:rPr>
                <w:i/>
                <w:iCs/>
                <w:sz w:val="20"/>
                <w:szCs w:val="18"/>
                <w:lang w:val="es"/>
              </w:rPr>
              <w:t xml:space="preserve">y </w:t>
            </w:r>
            <w:r>
              <w:rPr>
                <w:sz w:val="20"/>
                <w:szCs w:val="18"/>
                <w:lang w:val="es"/>
              </w:rPr>
              <w:t xml:space="preserve">explica: </w:t>
            </w:r>
          </w:p>
          <w:p w14:paraId="64963DEA" w14:textId="2C8D14C7" w:rsidR="00913826" w:rsidRPr="00913826" w:rsidRDefault="00913826" w:rsidP="00913826">
            <w:pPr>
              <w:pStyle w:val="ListParagraph"/>
              <w:numPr>
                <w:ilvl w:val="0"/>
                <w:numId w:val="16"/>
              </w:numPr>
              <w:ind w:left="210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la relación causa-efecto específica entre el clima y los cambios en el medio ambiente.</w:t>
            </w:r>
          </w:p>
          <w:p w14:paraId="445CED43" w14:textId="6A1D3020" w:rsidR="00BA24EA" w:rsidRPr="00913826" w:rsidRDefault="00913826" w:rsidP="00913826">
            <w:pPr>
              <w:pStyle w:val="ListParagraph"/>
              <w:numPr>
                <w:ilvl w:val="0"/>
                <w:numId w:val="16"/>
              </w:numPr>
              <w:ind w:left="210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explica el motivo de las predicciones.</w:t>
            </w:r>
          </w:p>
        </w:tc>
        <w:tc>
          <w:tcPr>
            <w:tcW w:w="1133" w:type="pct"/>
            <w:vAlign w:val="center"/>
          </w:tcPr>
          <w:p w14:paraId="6503D1FC" w14:textId="77777777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Las explicaciones y las descripciones coinciden con lo que se muestra en las gráficas y las imágenes.</w:t>
            </w:r>
          </w:p>
          <w:p w14:paraId="5D4833FD" w14:textId="1853E93B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Responde a la pregunta esencial. Explica la relación entre el clima y los cambios en el medio ambiente.</w:t>
            </w:r>
          </w:p>
          <w:p w14:paraId="3E6F65D2" w14:textId="1D1D61F4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Hace predicciones sobre cambios futuros en el medio ambiente.</w:t>
            </w:r>
          </w:p>
        </w:tc>
        <w:tc>
          <w:tcPr>
            <w:tcW w:w="1133" w:type="pct"/>
            <w:vAlign w:val="center"/>
          </w:tcPr>
          <w:p w14:paraId="34FED4D1" w14:textId="691790F8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Las explicaciones coinciden en su mayoría con las gráficas y las imágenes.</w:t>
            </w:r>
          </w:p>
          <w:p w14:paraId="66988959" w14:textId="5AE697F5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Responde a la pregunta esencial. Identifica los factores climáticos y ambientales sin relacionarlos.</w:t>
            </w:r>
          </w:p>
          <w:p w14:paraId="3C07086B" w14:textId="275D4691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Hace predicciones, pero puede que algunas no sean lógicas según los datos disponibles.</w:t>
            </w:r>
          </w:p>
        </w:tc>
        <w:tc>
          <w:tcPr>
            <w:tcW w:w="1133" w:type="pct"/>
            <w:vAlign w:val="center"/>
          </w:tcPr>
          <w:p w14:paraId="5A5C4CE9" w14:textId="77777777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42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Las explicaciones no son precisas. </w:t>
            </w:r>
          </w:p>
          <w:p w14:paraId="10E9713E" w14:textId="77777777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42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No responde a la pregunta esencial o la respuesta no es precisa.</w:t>
            </w:r>
          </w:p>
          <w:p w14:paraId="74DACBFB" w14:textId="75C8627D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42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No hace predicciones o las predicciones no son lógicas.</w:t>
            </w:r>
          </w:p>
        </w:tc>
      </w:tr>
      <w:tr w:rsidR="00BA24EA" w14:paraId="5387BABA" w14:textId="77777777" w:rsidTr="00A5723C">
        <w:trPr>
          <w:trHeight w:val="1201"/>
        </w:trPr>
        <w:tc>
          <w:tcPr>
            <w:tcW w:w="469" w:type="pct"/>
            <w:vAlign w:val="center"/>
          </w:tcPr>
          <w:p w14:paraId="2333D39B" w14:textId="77777777" w:rsidR="00BA24EA" w:rsidRPr="00BA24EA" w:rsidRDefault="00BA24EA" w:rsidP="00913826">
            <w:pPr>
              <w:pStyle w:val="Heading1"/>
              <w:framePr w:hSpace="0" w:wrap="auto" w:vAnchor="margin" w:yAlign="inline"/>
            </w:pPr>
            <w:r>
              <w:rPr>
                <w:bCs/>
                <w:lang w:val="es"/>
              </w:rPr>
              <w:t>Uso de las pruebas</w:t>
            </w:r>
          </w:p>
        </w:tc>
        <w:tc>
          <w:tcPr>
            <w:tcW w:w="1132" w:type="pct"/>
            <w:vAlign w:val="center"/>
          </w:tcPr>
          <w:p w14:paraId="21A10064" w14:textId="48588B07" w:rsidR="00BA24EA" w:rsidRPr="003A2E8D" w:rsidRDefault="00A90911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Cumple con las expectativas </w:t>
            </w:r>
            <w:r>
              <w:rPr>
                <w:i/>
                <w:iCs/>
                <w:sz w:val="20"/>
                <w:szCs w:val="18"/>
                <w:lang w:val="es"/>
              </w:rPr>
              <w:t xml:space="preserve">y </w:t>
            </w:r>
            <w:r>
              <w:rPr>
                <w:sz w:val="20"/>
                <w:szCs w:val="18"/>
                <w:lang w:val="es"/>
              </w:rPr>
              <w:t>explica por qué las pruebas apoyan las respuestas y las predicciones.</w:t>
            </w:r>
          </w:p>
        </w:tc>
        <w:tc>
          <w:tcPr>
            <w:tcW w:w="1133" w:type="pct"/>
            <w:vAlign w:val="center"/>
          </w:tcPr>
          <w:p w14:paraId="5F6074AB" w14:textId="27C64FB4" w:rsidR="001A571D" w:rsidRPr="00913826" w:rsidRDefault="000E03CB" w:rsidP="00913826">
            <w:pPr>
              <w:pStyle w:val="ListParagraph"/>
              <w:numPr>
                <w:ilvl w:val="0"/>
                <w:numId w:val="16"/>
              </w:numPr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Incluye observaciones </w:t>
            </w:r>
            <w:r>
              <w:rPr>
                <w:i/>
                <w:iCs/>
                <w:sz w:val="20"/>
                <w:szCs w:val="18"/>
                <w:lang w:val="es"/>
              </w:rPr>
              <w:t>y</w:t>
            </w:r>
            <w:r>
              <w:rPr>
                <w:sz w:val="20"/>
                <w:szCs w:val="18"/>
                <w:lang w:val="es"/>
              </w:rPr>
              <w:t xml:space="preserve"> gráficas del clima como pruebas.</w:t>
            </w:r>
          </w:p>
          <w:p w14:paraId="0E70E296" w14:textId="03572E7F" w:rsidR="001A571D" w:rsidRPr="00913826" w:rsidRDefault="001A571D" w:rsidP="00913826">
            <w:pPr>
              <w:pStyle w:val="ListParagraph"/>
              <w:numPr>
                <w:ilvl w:val="0"/>
                <w:numId w:val="16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Incluye pruebas que apoyan las respuestas y las predicciones con precisión. </w:t>
            </w:r>
          </w:p>
        </w:tc>
        <w:tc>
          <w:tcPr>
            <w:tcW w:w="1133" w:type="pct"/>
            <w:vAlign w:val="center"/>
          </w:tcPr>
          <w:p w14:paraId="695E0312" w14:textId="7DEC840E" w:rsidR="001A571D" w:rsidRPr="00913826" w:rsidRDefault="00A90911" w:rsidP="00913826">
            <w:pPr>
              <w:pStyle w:val="ListParagraph"/>
              <w:numPr>
                <w:ilvl w:val="0"/>
                <w:numId w:val="16"/>
              </w:numPr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Incluye observaciones </w:t>
            </w:r>
            <w:r>
              <w:rPr>
                <w:i/>
                <w:iCs/>
                <w:sz w:val="20"/>
                <w:szCs w:val="18"/>
                <w:lang w:val="es"/>
              </w:rPr>
              <w:t>o</w:t>
            </w:r>
            <w:r>
              <w:rPr>
                <w:sz w:val="20"/>
                <w:szCs w:val="18"/>
                <w:lang w:val="es"/>
              </w:rPr>
              <w:t xml:space="preserve"> gráficas del clima como pruebas.</w:t>
            </w:r>
          </w:p>
          <w:p w14:paraId="3898B486" w14:textId="64804CFC" w:rsidR="00BA24EA" w:rsidRPr="00913826" w:rsidRDefault="001A571D" w:rsidP="00913826">
            <w:pPr>
              <w:pStyle w:val="ListParagraph"/>
              <w:numPr>
                <w:ilvl w:val="0"/>
                <w:numId w:val="16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Incluye pruebas para apoyar las respuestas y las predicciones, pero puede que tengan algunas inexactitudes.</w:t>
            </w:r>
          </w:p>
        </w:tc>
        <w:tc>
          <w:tcPr>
            <w:tcW w:w="1133" w:type="pct"/>
            <w:vAlign w:val="center"/>
          </w:tcPr>
          <w:p w14:paraId="55525B5C" w14:textId="47AEF30D" w:rsidR="00BA24EA" w:rsidRPr="00913826" w:rsidRDefault="00A90911" w:rsidP="00913826">
            <w:pPr>
              <w:pStyle w:val="ListParagraph"/>
              <w:numPr>
                <w:ilvl w:val="0"/>
                <w:numId w:val="16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No incluye pruebas o las pruebas no apoyan las respuestas y las predicciones.</w:t>
            </w:r>
          </w:p>
        </w:tc>
      </w:tr>
      <w:tr w:rsidR="00BA24EA" w14:paraId="69E1BDBE" w14:textId="77777777" w:rsidTr="00A5723C">
        <w:trPr>
          <w:trHeight w:val="1597"/>
        </w:trPr>
        <w:tc>
          <w:tcPr>
            <w:tcW w:w="469" w:type="pct"/>
            <w:vAlign w:val="center"/>
          </w:tcPr>
          <w:p w14:paraId="19135767" w14:textId="77777777" w:rsidR="00BA24EA" w:rsidRPr="00BA24EA" w:rsidRDefault="00BA24EA" w:rsidP="00913826">
            <w:pPr>
              <w:pStyle w:val="Heading1"/>
              <w:framePr w:hSpace="0" w:wrap="auto" w:vAnchor="margin" w:yAlign="inline"/>
            </w:pPr>
            <w:r>
              <w:rPr>
                <w:bCs/>
                <w:lang w:val="es"/>
              </w:rPr>
              <w:t>Observación y datos climáticos</w:t>
            </w:r>
          </w:p>
        </w:tc>
        <w:tc>
          <w:tcPr>
            <w:tcW w:w="1132" w:type="pct"/>
            <w:vAlign w:val="center"/>
          </w:tcPr>
          <w:p w14:paraId="010075D3" w14:textId="206809BB" w:rsidR="00BA24EA" w:rsidRPr="00913826" w:rsidRDefault="000E03CB" w:rsidP="00411672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Cumple con las expectativas </w:t>
            </w:r>
            <w:r>
              <w:rPr>
                <w:i/>
                <w:iCs/>
                <w:sz w:val="20"/>
                <w:szCs w:val="18"/>
                <w:lang w:val="es"/>
              </w:rPr>
              <w:t>y</w:t>
            </w:r>
            <w:r>
              <w:rPr>
                <w:sz w:val="20"/>
                <w:szCs w:val="18"/>
                <w:lang w:val="es"/>
              </w:rPr>
              <w:t xml:space="preserve"> la presentación identifica correlaciones entre las 3 gráficas </w:t>
            </w:r>
            <w:r>
              <w:rPr>
                <w:i/>
                <w:iCs/>
                <w:sz w:val="20"/>
                <w:szCs w:val="18"/>
                <w:lang w:val="es"/>
              </w:rPr>
              <w:t>o</w:t>
            </w:r>
            <w:r>
              <w:rPr>
                <w:sz w:val="20"/>
                <w:szCs w:val="18"/>
                <w:lang w:val="es"/>
              </w:rPr>
              <w:t xml:space="preserve"> más de una correlación entre las gráficas.</w:t>
            </w:r>
          </w:p>
        </w:tc>
        <w:tc>
          <w:tcPr>
            <w:tcW w:w="1133" w:type="pct"/>
            <w:vAlign w:val="center"/>
          </w:tcPr>
          <w:p w14:paraId="33A6676B" w14:textId="6CD1A965" w:rsidR="00BA24EA" w:rsidRPr="003A2E8D" w:rsidRDefault="00BA24EA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Presentación:</w:t>
            </w:r>
          </w:p>
          <w:p w14:paraId="7918092B" w14:textId="1711A317" w:rsidR="00BA24EA" w:rsidRPr="00913826" w:rsidRDefault="000E03CB" w:rsidP="00913826">
            <w:pPr>
              <w:pStyle w:val="ListParagraph"/>
              <w:numPr>
                <w:ilvl w:val="0"/>
                <w:numId w:val="17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Incluye gráficas de sequía, precipitación </w:t>
            </w:r>
            <w:r>
              <w:rPr>
                <w:i/>
                <w:iCs/>
                <w:sz w:val="20"/>
                <w:szCs w:val="18"/>
                <w:lang w:val="es"/>
              </w:rPr>
              <w:t>y</w:t>
            </w:r>
            <w:r>
              <w:rPr>
                <w:sz w:val="20"/>
                <w:szCs w:val="18"/>
                <w:lang w:val="es"/>
              </w:rPr>
              <w:t xml:space="preserve"> temperatura.</w:t>
            </w:r>
          </w:p>
          <w:p w14:paraId="5544707B" w14:textId="77777777" w:rsidR="00BA24EA" w:rsidRPr="00913826" w:rsidRDefault="00BA24EA" w:rsidP="00913826">
            <w:pPr>
              <w:pStyle w:val="ListParagraph"/>
              <w:numPr>
                <w:ilvl w:val="0"/>
                <w:numId w:val="17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Describe las principales tendencias con precisión.</w:t>
            </w:r>
          </w:p>
          <w:p w14:paraId="79345D02" w14:textId="2D8DB818" w:rsidR="000E03CB" w:rsidRPr="00913826" w:rsidRDefault="000E03CB" w:rsidP="00913826">
            <w:pPr>
              <w:pStyle w:val="ListParagraph"/>
              <w:numPr>
                <w:ilvl w:val="0"/>
                <w:numId w:val="17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Identifica una correlación entre dos gráficas.</w:t>
            </w:r>
          </w:p>
        </w:tc>
        <w:tc>
          <w:tcPr>
            <w:tcW w:w="1133" w:type="pct"/>
            <w:vAlign w:val="center"/>
          </w:tcPr>
          <w:p w14:paraId="0F3485AA" w14:textId="629B118D" w:rsidR="000E03CB" w:rsidRPr="003A2E8D" w:rsidRDefault="000E03CB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Presentación:</w:t>
            </w:r>
          </w:p>
          <w:p w14:paraId="6CF888A5" w14:textId="479B4A5D" w:rsidR="000E03CB" w:rsidRPr="00913826" w:rsidRDefault="00913826" w:rsidP="00913826">
            <w:pPr>
              <w:pStyle w:val="ListParagraph"/>
              <w:numPr>
                <w:ilvl w:val="0"/>
                <w:numId w:val="19"/>
              </w:numPr>
              <w:spacing w:after="0"/>
              <w:ind w:left="239" w:hanging="149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Deja fuera una gráfica.</w:t>
            </w:r>
          </w:p>
          <w:p w14:paraId="0D9B650E" w14:textId="7AC34CE1" w:rsidR="000E03CB" w:rsidRPr="00913826" w:rsidRDefault="000E03CB" w:rsidP="00913826">
            <w:pPr>
              <w:pStyle w:val="ListParagraph"/>
              <w:numPr>
                <w:ilvl w:val="0"/>
                <w:numId w:val="19"/>
              </w:numPr>
              <w:spacing w:after="0"/>
              <w:ind w:left="239" w:hanging="149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Describe con precisión algunas tendencias en los datos.</w:t>
            </w:r>
          </w:p>
          <w:p w14:paraId="09B4DD19" w14:textId="3EC1996C" w:rsidR="00BA24EA" w:rsidRPr="00913826" w:rsidRDefault="000E03CB" w:rsidP="00913826">
            <w:pPr>
              <w:pStyle w:val="ListParagraph"/>
              <w:numPr>
                <w:ilvl w:val="0"/>
                <w:numId w:val="19"/>
              </w:numPr>
              <w:spacing w:after="0"/>
              <w:ind w:left="239" w:hanging="149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Identifica patrones entre las gráficas, pero no los correlaciona.</w:t>
            </w:r>
          </w:p>
        </w:tc>
        <w:tc>
          <w:tcPr>
            <w:tcW w:w="1133" w:type="pct"/>
            <w:vAlign w:val="center"/>
          </w:tcPr>
          <w:p w14:paraId="3F8CFED4" w14:textId="13A75E5A" w:rsidR="000E03CB" w:rsidRPr="003A2E8D" w:rsidRDefault="000E03CB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Presentación:</w:t>
            </w:r>
          </w:p>
          <w:p w14:paraId="2308CC85" w14:textId="53FBA6DC" w:rsidR="00BA24EA" w:rsidRPr="00913826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42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Deja fuera más de una gráfica.</w:t>
            </w:r>
          </w:p>
          <w:p w14:paraId="7E1FAC94" w14:textId="77777777" w:rsidR="000E03CB" w:rsidRPr="00913826" w:rsidRDefault="000E03CB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42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No describe las tendencias en los datos.</w:t>
            </w:r>
          </w:p>
          <w:p w14:paraId="7A92B975" w14:textId="717690EC" w:rsidR="000E03CB" w:rsidRPr="00913826" w:rsidRDefault="000E03CB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42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No identifica ningún patrón o correlación entre las gráficas.</w:t>
            </w:r>
          </w:p>
        </w:tc>
      </w:tr>
      <w:tr w:rsidR="00BA24EA" w14:paraId="080E8A59" w14:textId="77777777" w:rsidTr="00A5723C">
        <w:trPr>
          <w:trHeight w:val="1651"/>
        </w:trPr>
        <w:tc>
          <w:tcPr>
            <w:tcW w:w="469" w:type="pct"/>
            <w:vAlign w:val="center"/>
          </w:tcPr>
          <w:p w14:paraId="14390A67" w14:textId="77777777" w:rsidR="00BA24EA" w:rsidRPr="00BA24EA" w:rsidRDefault="00BA24EA" w:rsidP="00913826">
            <w:pPr>
              <w:pStyle w:val="Heading1"/>
              <w:framePr w:hSpace="0" w:wrap="auto" w:vAnchor="margin" w:yAlign="inline"/>
            </w:pPr>
            <w:r>
              <w:rPr>
                <w:bCs/>
                <w:lang w:val="es"/>
              </w:rPr>
              <w:t>Presentación, organización y citas</w:t>
            </w:r>
          </w:p>
        </w:tc>
        <w:tc>
          <w:tcPr>
            <w:tcW w:w="1132" w:type="pct"/>
            <w:vAlign w:val="center"/>
          </w:tcPr>
          <w:p w14:paraId="22D7B8B6" w14:textId="403C7C26" w:rsidR="00913826" w:rsidRPr="00913826" w:rsidRDefault="00913826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Cumple con las expectativas </w:t>
            </w:r>
            <w:r>
              <w:rPr>
                <w:i/>
                <w:iCs/>
                <w:sz w:val="20"/>
                <w:szCs w:val="18"/>
                <w:lang w:val="es"/>
              </w:rPr>
              <w:t>y además</w:t>
            </w:r>
          </w:p>
          <w:p w14:paraId="720527D1" w14:textId="009658C2" w:rsidR="00BA24EA" w:rsidRPr="00913826" w:rsidRDefault="00BA24EA" w:rsidP="00913826">
            <w:pPr>
              <w:pStyle w:val="ListParagraph"/>
              <w:numPr>
                <w:ilvl w:val="0"/>
                <w:numId w:val="21"/>
              </w:numPr>
              <w:spacing w:after="0"/>
              <w:ind w:left="210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Incluye múltiples imágenes de lapso de tiempo y/o EOMF.</w:t>
            </w:r>
          </w:p>
          <w:p w14:paraId="14C3B52F" w14:textId="44FE7CC3" w:rsidR="00BA24EA" w:rsidRPr="00913826" w:rsidRDefault="00BA24EA" w:rsidP="00913826">
            <w:pPr>
              <w:pStyle w:val="ListParagraph"/>
              <w:numPr>
                <w:ilvl w:val="0"/>
                <w:numId w:val="21"/>
              </w:numPr>
              <w:spacing w:after="0"/>
              <w:ind w:left="210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Las citas de todas las fuentes tienen el formato correcto.</w:t>
            </w:r>
          </w:p>
        </w:tc>
        <w:tc>
          <w:tcPr>
            <w:tcW w:w="1133" w:type="pct"/>
            <w:vAlign w:val="center"/>
          </w:tcPr>
          <w:p w14:paraId="1F3FAF48" w14:textId="670F49F3" w:rsidR="00BA24EA" w:rsidRPr="00913826" w:rsidRDefault="00BA24EA" w:rsidP="00411672">
            <w:pPr>
              <w:pStyle w:val="ListParagraph"/>
              <w:numPr>
                <w:ilvl w:val="0"/>
                <w:numId w:val="20"/>
              </w:numPr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La presentación es lógica y fácil de seguir.</w:t>
            </w:r>
          </w:p>
          <w:p w14:paraId="1E527E0A" w14:textId="77777777" w:rsidR="00BA24EA" w:rsidRPr="00913826" w:rsidRDefault="00BA24EA" w:rsidP="00913826">
            <w:pPr>
              <w:spacing w:after="0"/>
              <w:ind w:left="44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La presentación incluye:</w:t>
            </w:r>
          </w:p>
          <w:p w14:paraId="47C40827" w14:textId="77777777" w:rsidR="00BA24EA" w:rsidRPr="00913826" w:rsidRDefault="00BA24EA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Imágenes de las fuentes asignadas.</w:t>
            </w:r>
          </w:p>
          <w:p w14:paraId="1AFF80A5" w14:textId="5A148102" w:rsidR="00BA24EA" w:rsidRPr="00913826" w:rsidRDefault="00BA24EA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24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Citas de todas las fuentes.</w:t>
            </w:r>
          </w:p>
        </w:tc>
        <w:tc>
          <w:tcPr>
            <w:tcW w:w="1133" w:type="pct"/>
            <w:vAlign w:val="center"/>
          </w:tcPr>
          <w:p w14:paraId="0012E162" w14:textId="1C2844E5" w:rsidR="00411672" w:rsidRPr="00411672" w:rsidRDefault="00411672" w:rsidP="00411672">
            <w:pPr>
              <w:pStyle w:val="ListParagraph"/>
              <w:numPr>
                <w:ilvl w:val="0"/>
                <w:numId w:val="20"/>
              </w:numPr>
              <w:ind w:left="206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La presentación es lógica en su mayoría y se puede seguir.</w:t>
            </w:r>
          </w:p>
          <w:p w14:paraId="09236B5B" w14:textId="524A1BA1" w:rsidR="00913826" w:rsidRPr="00913826" w:rsidRDefault="00913826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A la presentación le falta:</w:t>
            </w:r>
          </w:p>
          <w:p w14:paraId="503B3FDF" w14:textId="2D5C9350" w:rsidR="00BA24EA" w:rsidRPr="00913826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Imágenes de lapso de tiempo o de EOMF.</w:t>
            </w:r>
          </w:p>
          <w:p w14:paraId="330A9654" w14:textId="4377F7E3" w:rsidR="00BA24EA" w:rsidRPr="00913826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Algunas citas.</w:t>
            </w:r>
          </w:p>
        </w:tc>
        <w:tc>
          <w:tcPr>
            <w:tcW w:w="1133" w:type="pct"/>
            <w:vAlign w:val="center"/>
          </w:tcPr>
          <w:p w14:paraId="265392A1" w14:textId="13B6981D" w:rsidR="00411672" w:rsidRPr="00411672" w:rsidRDefault="00411672" w:rsidP="00411672">
            <w:pPr>
              <w:pStyle w:val="ListParagraph"/>
              <w:numPr>
                <w:ilvl w:val="0"/>
                <w:numId w:val="20"/>
              </w:numPr>
              <w:ind w:left="186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La presentación es desorganizada y difícil de seguir.</w:t>
            </w:r>
          </w:p>
          <w:p w14:paraId="7D03683D" w14:textId="13184D20" w:rsidR="00913826" w:rsidRPr="00913826" w:rsidRDefault="00913826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>A la presentación le falta:</w:t>
            </w:r>
          </w:p>
          <w:p w14:paraId="79B0FCE7" w14:textId="77777777" w:rsidR="00913826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Imágenes de lapso de tiempo </w:t>
            </w:r>
            <w:r>
              <w:rPr>
                <w:i/>
                <w:iCs/>
                <w:sz w:val="20"/>
                <w:szCs w:val="18"/>
                <w:lang w:val="es"/>
              </w:rPr>
              <w:t>y</w:t>
            </w:r>
            <w:r>
              <w:rPr>
                <w:sz w:val="20"/>
                <w:szCs w:val="18"/>
                <w:lang w:val="es"/>
              </w:rPr>
              <w:t xml:space="preserve"> de EOMF</w:t>
            </w:r>
          </w:p>
          <w:p w14:paraId="3835EE95" w14:textId="00757F76" w:rsidR="00BA24EA" w:rsidRPr="00344707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s"/>
              </w:rPr>
              <w:t xml:space="preserve">Todas las citas. </w:t>
            </w:r>
          </w:p>
        </w:tc>
      </w:tr>
    </w:tbl>
    <w:p w14:paraId="52B2D4FC" w14:textId="30DE1EFF" w:rsidR="00446C13" w:rsidRPr="001872E7" w:rsidRDefault="007A2B11" w:rsidP="007A2B11">
      <w:pPr>
        <w:pStyle w:val="Title"/>
        <w:spacing w:after="0"/>
      </w:pPr>
      <w:r>
        <w:rPr>
          <w:bCs/>
          <w:lang w:val="es"/>
        </w:rPr>
        <w:t xml:space="preserve"> Rúbrica de la presentación </w:t>
      </w:r>
    </w:p>
    <w:p w14:paraId="1825AE12" w14:textId="781529DB" w:rsidR="007A2B11" w:rsidRPr="007A2B11" w:rsidRDefault="00895E9E" w:rsidP="007A2B11">
      <w:pPr>
        <w:pStyle w:val="BodyText"/>
        <w:spacing w:after="0" w:line="240" w:lineRule="auto"/>
        <w:rPr>
          <w:sz w:val="2"/>
          <w:szCs w:val="2"/>
        </w:rPr>
      </w:pPr>
      <w:r>
        <w:rPr>
          <w:lang w:val="es"/>
        </w:rPr>
        <w:t xml:space="preserve"> </w:t>
      </w:r>
    </w:p>
    <w:sectPr w:rsidR="007A2B11" w:rsidRPr="007A2B11" w:rsidSect="007A2B11">
      <w:footerReference w:type="default" r:id="rId8"/>
      <w:pgSz w:w="15840" w:h="12240" w:orient="landscape"/>
      <w:pgMar w:top="720" w:right="720" w:bottom="1008" w:left="720" w:header="720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91E6" w14:textId="77777777" w:rsidR="00EC5423" w:rsidRDefault="00EC5423" w:rsidP="00293785">
      <w:pPr>
        <w:spacing w:after="0" w:line="240" w:lineRule="auto"/>
      </w:pPr>
      <w:r>
        <w:separator/>
      </w:r>
    </w:p>
  </w:endnote>
  <w:endnote w:type="continuationSeparator" w:id="0">
    <w:p w14:paraId="684E64D6" w14:textId="77777777" w:rsidR="00EC5423" w:rsidRDefault="00EC542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328F" w14:textId="640F5019" w:rsidR="00293785" w:rsidRDefault="007A2B11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8023D80" wp14:editId="34261E6C">
          <wp:simplePos x="0" y="0"/>
          <wp:positionH relativeFrom="column">
            <wp:posOffset>4388485</wp:posOffset>
          </wp:positionH>
          <wp:positionV relativeFrom="paragraph">
            <wp:posOffset>-158115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026BD0" wp14:editId="3E4839A1">
              <wp:simplePos x="0" y="0"/>
              <wp:positionH relativeFrom="column">
                <wp:posOffset>4503297</wp:posOffset>
              </wp:positionH>
              <wp:positionV relativeFrom="paragraph">
                <wp:posOffset>-207323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CCC6F" w14:textId="6F53DB3B" w:rsidR="00293785" w:rsidRDefault="00CD729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C63687CBE53401A88EAB10DBDC83D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C5423">
                                <w:rPr>
                                  <w:bCs/>
                                  <w:lang w:val="es"/>
                                </w:rPr>
                                <w:t>Back to the Future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26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4.6pt;margin-top:-16.3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A0/ua/eAAAACwEAAA8AAAAAAAAAAAAAAAAAugQAAGRycy9k&#10;b3ducmV2LnhtbFBLBQYAAAAABAAEAPMAAADFBQAAAAA=&#10;" filled="f" stroked="f">
              <v:textbox>
                <w:txbxContent>
                  <w:p w14:paraId="34CCCC6F" w14:textId="6F53DB3B" w:rsidR="00293785" w:rsidRDefault="00CD729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C63687CBE53401A88EAB10DBDC83D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C5423">
                          <w:rPr>
                            <w:bCs/>
                            <w:lang w:val="es"/>
                          </w:rPr>
                          <w:t>Back to the Future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AC42" w14:textId="77777777" w:rsidR="00EC5423" w:rsidRDefault="00EC5423" w:rsidP="00293785">
      <w:pPr>
        <w:spacing w:after="0" w:line="240" w:lineRule="auto"/>
      </w:pPr>
      <w:r>
        <w:separator/>
      </w:r>
    </w:p>
  </w:footnote>
  <w:footnote w:type="continuationSeparator" w:id="0">
    <w:p w14:paraId="5358CC03" w14:textId="77777777" w:rsidR="00EC5423" w:rsidRDefault="00EC542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6D9"/>
    <w:multiLevelType w:val="hybridMultilevel"/>
    <w:tmpl w:val="6FD4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3CC2"/>
    <w:multiLevelType w:val="hybridMultilevel"/>
    <w:tmpl w:val="31FC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CDF"/>
    <w:multiLevelType w:val="hybridMultilevel"/>
    <w:tmpl w:val="FEA8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720A5"/>
    <w:multiLevelType w:val="hybridMultilevel"/>
    <w:tmpl w:val="18E4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65044"/>
    <w:multiLevelType w:val="hybridMultilevel"/>
    <w:tmpl w:val="7BD8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4074B"/>
    <w:multiLevelType w:val="hybridMultilevel"/>
    <w:tmpl w:val="E134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17C02"/>
    <w:multiLevelType w:val="hybridMultilevel"/>
    <w:tmpl w:val="32EA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02E81"/>
    <w:multiLevelType w:val="hybridMultilevel"/>
    <w:tmpl w:val="9248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C32CF"/>
    <w:multiLevelType w:val="hybridMultilevel"/>
    <w:tmpl w:val="C7BC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C1BF5"/>
    <w:multiLevelType w:val="hybridMultilevel"/>
    <w:tmpl w:val="940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7762">
    <w:abstractNumId w:val="14"/>
  </w:num>
  <w:num w:numId="2" w16cid:durableId="374626449">
    <w:abstractNumId w:val="17"/>
  </w:num>
  <w:num w:numId="3" w16cid:durableId="1810786647">
    <w:abstractNumId w:val="3"/>
  </w:num>
  <w:num w:numId="4" w16cid:durableId="924649743">
    <w:abstractNumId w:val="6"/>
  </w:num>
  <w:num w:numId="5" w16cid:durableId="1770537357">
    <w:abstractNumId w:val="10"/>
  </w:num>
  <w:num w:numId="6" w16cid:durableId="3023590">
    <w:abstractNumId w:val="12"/>
  </w:num>
  <w:num w:numId="7" w16cid:durableId="694043153">
    <w:abstractNumId w:val="11"/>
  </w:num>
  <w:num w:numId="8" w16cid:durableId="2004579914">
    <w:abstractNumId w:val="18"/>
  </w:num>
  <w:num w:numId="9" w16cid:durableId="1246694702">
    <w:abstractNumId w:val="19"/>
  </w:num>
  <w:num w:numId="10" w16cid:durableId="1763642034">
    <w:abstractNumId w:val="20"/>
  </w:num>
  <w:num w:numId="11" w16cid:durableId="1207378362">
    <w:abstractNumId w:val="5"/>
  </w:num>
  <w:num w:numId="12" w16cid:durableId="1019090214">
    <w:abstractNumId w:val="13"/>
  </w:num>
  <w:num w:numId="13" w16cid:durableId="1621838345">
    <w:abstractNumId w:val="15"/>
  </w:num>
  <w:num w:numId="14" w16cid:durableId="987172957">
    <w:abstractNumId w:val="9"/>
  </w:num>
  <w:num w:numId="15" w16cid:durableId="1914271654">
    <w:abstractNumId w:val="2"/>
  </w:num>
  <w:num w:numId="16" w16cid:durableId="508175341">
    <w:abstractNumId w:val="7"/>
  </w:num>
  <w:num w:numId="17" w16cid:durableId="477115443">
    <w:abstractNumId w:val="8"/>
  </w:num>
  <w:num w:numId="18" w16cid:durableId="1877430476">
    <w:abstractNumId w:val="0"/>
  </w:num>
  <w:num w:numId="19" w16cid:durableId="1550458186">
    <w:abstractNumId w:val="16"/>
  </w:num>
  <w:num w:numId="20" w16cid:durableId="1724983105">
    <w:abstractNumId w:val="1"/>
  </w:num>
  <w:num w:numId="21" w16cid:durableId="192028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4"/>
    <w:rsid w:val="0004006F"/>
    <w:rsid w:val="00053775"/>
    <w:rsid w:val="0005619A"/>
    <w:rsid w:val="000618F4"/>
    <w:rsid w:val="000716BE"/>
    <w:rsid w:val="000E03CB"/>
    <w:rsid w:val="0011259B"/>
    <w:rsid w:val="00116FDD"/>
    <w:rsid w:val="00125621"/>
    <w:rsid w:val="00155554"/>
    <w:rsid w:val="001872E7"/>
    <w:rsid w:val="001A571D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44707"/>
    <w:rsid w:val="0036040A"/>
    <w:rsid w:val="003A2E8D"/>
    <w:rsid w:val="00411672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A2B11"/>
    <w:rsid w:val="007B055F"/>
    <w:rsid w:val="007B23E8"/>
    <w:rsid w:val="0080404E"/>
    <w:rsid w:val="00880013"/>
    <w:rsid w:val="00895E9E"/>
    <w:rsid w:val="008E4D00"/>
    <w:rsid w:val="008F5386"/>
    <w:rsid w:val="00913172"/>
    <w:rsid w:val="00913826"/>
    <w:rsid w:val="00981E19"/>
    <w:rsid w:val="009B52E4"/>
    <w:rsid w:val="009D6E8D"/>
    <w:rsid w:val="00A101E8"/>
    <w:rsid w:val="00A5723C"/>
    <w:rsid w:val="00A90911"/>
    <w:rsid w:val="00AC349E"/>
    <w:rsid w:val="00AE332B"/>
    <w:rsid w:val="00AF38A6"/>
    <w:rsid w:val="00B92DBF"/>
    <w:rsid w:val="00BA24EA"/>
    <w:rsid w:val="00BD119F"/>
    <w:rsid w:val="00C73EA1"/>
    <w:rsid w:val="00C82986"/>
    <w:rsid w:val="00CC4F77"/>
    <w:rsid w:val="00CD3CF6"/>
    <w:rsid w:val="00CD729B"/>
    <w:rsid w:val="00CE317F"/>
    <w:rsid w:val="00CE336D"/>
    <w:rsid w:val="00D106FF"/>
    <w:rsid w:val="00D626EB"/>
    <w:rsid w:val="00DF1FB4"/>
    <w:rsid w:val="00EC5423"/>
    <w:rsid w:val="00ED24C8"/>
    <w:rsid w:val="00F377E2"/>
    <w:rsid w:val="00F50748"/>
    <w:rsid w:val="00F56EA5"/>
    <w:rsid w:val="00F72D02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9CADB"/>
  <w15:docId w15:val="{DB2597E6-53C0-4612-B53B-61F0AA49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1382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3826"/>
    <w:pPr>
      <w:keepNext/>
      <w:keepLines/>
      <w:framePr w:hSpace="180" w:wrap="around" w:vAnchor="text" w:hAnchor="text" w:y="538"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 w:val="20"/>
      <w:szCs w:val="20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3826"/>
    <w:rPr>
      <w:rFonts w:asciiTheme="majorHAnsi" w:eastAsiaTheme="majorEastAsia" w:hAnsiTheme="majorHAnsi" w:cstheme="majorBidi"/>
      <w:b/>
      <w:color w:val="910D28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55554"/>
    <w:pPr>
      <w:framePr w:hSpace="180" w:wrap="around" w:vAnchor="text" w:hAnchor="text" w:y="538"/>
      <w:spacing w:after="0" w:line="240" w:lineRule="auto"/>
      <w:jc w:val="center"/>
    </w:pPr>
    <w:rPr>
      <w:rFonts w:asciiTheme="majorHAnsi" w:hAnsiTheme="majorHAnsi"/>
      <w:b/>
      <w:color w:val="FFFFFF" w:themeColor="background1"/>
      <w:sz w:val="20"/>
      <w:szCs w:val="18"/>
    </w:rPr>
  </w:style>
  <w:style w:type="paragraph" w:customStyle="1" w:styleId="Style1">
    <w:name w:val="Style1"/>
    <w:basedOn w:val="TableColumnHeaders"/>
    <w:next w:val="Header"/>
    <w:autoRedefine/>
    <w:rsid w:val="00AC349E"/>
    <w:pPr>
      <w:framePr w:wrap="around"/>
    </w:pPr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55554"/>
    <w:rPr>
      <w:rFonts w:asciiTheme="majorHAnsi" w:hAnsiTheme="majorHAnsi"/>
      <w:b/>
      <w:color w:val="FFFFFF" w:themeColor="background1"/>
      <w:sz w:val="20"/>
      <w:szCs w:val="18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63687CBE53401A88EAB10DBDC8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D236-482E-4651-B3B9-8AB4515F130F}"/>
      </w:docPartPr>
      <w:docPartBody>
        <w:p w:rsidR="004446D5" w:rsidRDefault="004855AB">
          <w:pPr>
            <w:pStyle w:val="1C63687CBE53401A88EAB10DBDC83D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AB"/>
    <w:rsid w:val="001E0CEE"/>
    <w:rsid w:val="004446D5"/>
    <w:rsid w:val="004855AB"/>
    <w:rsid w:val="00A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63687CBE53401A88EAB10DBDC83D3C">
    <w:name w:val="1C63687CBE53401A88EAB10DBDC83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B147-CF65-401A-8F41-231EBB96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 to the Future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:creator>K20 Center</dc:creator>
  <cp:lastModifiedBy>Bigler, Elijah B.</cp:lastModifiedBy>
  <cp:revision>11</cp:revision>
  <cp:lastPrinted>2016-07-14T14:08:00Z</cp:lastPrinted>
  <dcterms:created xsi:type="dcterms:W3CDTF">2020-03-06T18:17:00Z</dcterms:created>
  <dcterms:modified xsi:type="dcterms:W3CDTF">2023-06-14T14:48:00Z</dcterms:modified>
</cp:coreProperties>
</file>