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4EACC" w14:textId="0AE15890" w:rsidR="00A841D3" w:rsidRPr="008D7BCD" w:rsidRDefault="002E0D57" w:rsidP="00BA35C3">
      <w:pPr>
        <w:pStyle w:val="Heading1"/>
        <w:rPr>
          <w:rStyle w:val="subtext"/>
          <w:rFonts w:ascii="Calibri" w:hAnsi="Calibri"/>
          <w:i/>
        </w:rPr>
      </w:pPr>
      <w:r>
        <w:rPr>
          <w:lang w:val="es"/>
        </w:rPr>
        <w:t>CARTA DE NACIÓN EXTRATERRESTRE</w:t>
      </w:r>
    </w:p>
    <w:p w14:paraId="2136B5B7" w14:textId="77777777" w:rsidR="002E0D57" w:rsidRDefault="002E0D57" w:rsidP="002E0D57">
      <w:pPr>
        <w:rPr>
          <w:szCs w:val="18"/>
        </w:rPr>
      </w:pPr>
    </w:p>
    <w:tbl>
      <w:tblPr>
        <w:tblStyle w:val="GridTable1Light-Accent2"/>
        <w:tblW w:w="5985" w:type="dxa"/>
        <w:tblCellMar>
          <w:left w:w="360" w:type="dxa"/>
          <w:right w:w="360" w:type="dxa"/>
        </w:tblCellMar>
        <w:tblLook w:val="04A0" w:firstRow="1" w:lastRow="0" w:firstColumn="1" w:lastColumn="0" w:noHBand="0" w:noVBand="1"/>
      </w:tblPr>
      <w:tblGrid>
        <w:gridCol w:w="5985"/>
      </w:tblGrid>
      <w:tr w:rsidR="002E0D57" w14:paraId="09B0879A" w14:textId="77777777" w:rsidTr="002E0D57">
        <w:trPr>
          <w:cnfStyle w:val="100000000000" w:firstRow="1" w:lastRow="0" w:firstColumn="0" w:lastColumn="0" w:oddVBand="0" w:evenVBand="0" w:oddHBand="0" w:evenHBand="0" w:firstRowFirstColumn="0" w:firstRowLastColumn="0" w:lastRowFirstColumn="0" w:lastRowLastColumn="0"/>
          <w:trHeight w:val="6902"/>
        </w:trPr>
        <w:tc>
          <w:tcPr>
            <w:cnfStyle w:val="001000000000" w:firstRow="0" w:lastRow="0" w:firstColumn="1" w:lastColumn="0" w:oddVBand="0" w:evenVBand="0" w:oddHBand="0" w:evenHBand="0" w:firstRowFirstColumn="0" w:firstRowLastColumn="0" w:lastRowFirstColumn="0" w:lastRowLastColumn="0"/>
            <w:tcW w:w="5985" w:type="dxa"/>
          </w:tcPr>
          <w:p w14:paraId="27A1C689" w14:textId="77777777" w:rsidR="002E0D57" w:rsidRDefault="002E0D57" w:rsidP="002E0D57">
            <w:pPr>
              <w:rPr>
                <w:szCs w:val="18"/>
              </w:rPr>
            </w:pPr>
          </w:p>
          <w:p w14:paraId="044A40DA" w14:textId="77777777" w:rsidR="002E0D57" w:rsidRDefault="002E0D57" w:rsidP="002E0D57">
            <w:pPr>
              <w:rPr>
                <w:szCs w:val="18"/>
              </w:rPr>
            </w:pPr>
          </w:p>
          <w:p w14:paraId="2FA69ED2" w14:textId="77777777" w:rsidR="002E0D57" w:rsidRDefault="002E0D57" w:rsidP="002E0D57">
            <w:pPr>
              <w:rPr>
                <w:szCs w:val="18"/>
              </w:rPr>
            </w:pPr>
          </w:p>
          <w:p w14:paraId="2627BDE6" w14:textId="77777777" w:rsidR="002E0D57" w:rsidRDefault="002E0D57" w:rsidP="002E0D57">
            <w:pPr>
              <w:rPr>
                <w:szCs w:val="18"/>
              </w:rPr>
            </w:pPr>
          </w:p>
          <w:p w14:paraId="29C3434B" w14:textId="77777777" w:rsidR="002E0D57" w:rsidRPr="002E0D57" w:rsidRDefault="002E0D57" w:rsidP="002E0D57">
            <w:pPr>
              <w:rPr>
                <w:rFonts w:ascii="SimSun" w:eastAsia="SimSun" w:hAnsi="SimSun"/>
                <w:color w:val="3E5C61" w:themeColor="accent2"/>
                <w:szCs w:val="18"/>
              </w:rPr>
            </w:pPr>
            <w:r>
              <w:rPr>
                <w:rFonts w:ascii="SimSun" w:eastAsia="SimSun" w:hAnsi="SimSun"/>
                <w:color w:val="3E5C61" w:themeColor="accent2"/>
                <w:szCs w:val="18"/>
                <w:lang w:val="es"/>
              </w:rPr>
              <w:t>Saludos terrícolas,</w:t>
            </w:r>
          </w:p>
          <w:p w14:paraId="42F95C7A" w14:textId="77777777" w:rsidR="002E0D57" w:rsidRPr="002E0D57" w:rsidRDefault="002E0D57" w:rsidP="002E0D57">
            <w:pPr>
              <w:rPr>
                <w:rFonts w:ascii="SimSun" w:eastAsia="SimSun" w:hAnsi="SimSun"/>
                <w:color w:val="3E5C61" w:themeColor="accent2"/>
                <w:szCs w:val="18"/>
              </w:rPr>
            </w:pPr>
          </w:p>
          <w:p w14:paraId="735D920E" w14:textId="77777777" w:rsidR="002E0D57" w:rsidRPr="002E0D57" w:rsidRDefault="002E0D57" w:rsidP="002E0D57">
            <w:pPr>
              <w:rPr>
                <w:rFonts w:ascii="SimSun" w:eastAsia="SimSun" w:hAnsi="SimSun"/>
                <w:color w:val="3E5C61" w:themeColor="accent2"/>
                <w:szCs w:val="18"/>
              </w:rPr>
            </w:pPr>
            <w:r>
              <w:rPr>
                <w:rFonts w:ascii="SimSun" w:eastAsia="SimSun" w:hAnsi="SimSun"/>
                <w:color w:val="3E5C61" w:themeColor="accent2"/>
                <w:szCs w:val="18"/>
                <w:lang w:val="es"/>
              </w:rPr>
              <w:t xml:space="preserve">Debido a la reciente desaparición de su país y nuestra posterior toma de posesión, ahora están bajo nuestro control. Bajo el dominio de su gobierno anterior, se le permitieron ciertos "derechos" que nosotros no estamos dispuestos a reconocer. Sin embargo, somos una sociedad justa y no los eliminaremos por completo. Reconoceremos y haremos valer dos de los derechos constitucionales recogidos en las diez primeras enmiendas (la Declaración de Derechos). Como sociedad, es usted quien debe decidir con qué dos se queda. La decisión se tomará por mayoría. Tiene poco tiempo para tomar su decisión, así que dese prisa </w:t>
            </w:r>
          </w:p>
          <w:p w14:paraId="67B905D7" w14:textId="77777777" w:rsidR="002E0D57" w:rsidRPr="002E0D57" w:rsidRDefault="002E0D57" w:rsidP="002E0D57">
            <w:pPr>
              <w:rPr>
                <w:rFonts w:ascii="SimSun" w:eastAsia="SimSun" w:hAnsi="SimSun"/>
                <w:color w:val="3E5C61" w:themeColor="accent2"/>
                <w:szCs w:val="18"/>
              </w:rPr>
            </w:pPr>
            <w:r>
              <w:rPr>
                <w:rFonts w:ascii="SimSun" w:eastAsia="SimSun" w:hAnsi="SimSun"/>
                <w:color w:val="3E5C61" w:themeColor="accent2"/>
                <w:szCs w:val="18"/>
                <w:lang w:val="es"/>
              </w:rPr>
              <w:t>Sinceramente,</w:t>
            </w:r>
          </w:p>
          <w:p w14:paraId="4021F288" w14:textId="77777777" w:rsidR="002E0D57" w:rsidRPr="002E0D57" w:rsidRDefault="002E0D57" w:rsidP="002E0D57">
            <w:pPr>
              <w:rPr>
                <w:rFonts w:ascii="SimSun" w:eastAsia="SimSun" w:hAnsi="SimSun"/>
                <w:color w:val="3E5C61" w:themeColor="accent2"/>
                <w:szCs w:val="18"/>
              </w:rPr>
            </w:pPr>
            <w:proofErr w:type="spellStart"/>
            <w:r>
              <w:rPr>
                <w:rFonts w:ascii="SimSun" w:eastAsia="SimSun" w:hAnsi="SimSun"/>
                <w:color w:val="3E5C61" w:themeColor="accent2"/>
                <w:szCs w:val="18"/>
                <w:lang w:val="es"/>
              </w:rPr>
              <w:t>Zee-bo-dee-ba</w:t>
            </w:r>
            <w:proofErr w:type="spellEnd"/>
            <w:r>
              <w:rPr>
                <w:rFonts w:ascii="SimSun" w:eastAsia="SimSun" w:hAnsi="SimSun"/>
                <w:color w:val="3E5C61" w:themeColor="accent2"/>
                <w:szCs w:val="18"/>
                <w:lang w:val="es"/>
              </w:rPr>
              <w:t>, Representante del Planeta X</w:t>
            </w:r>
          </w:p>
          <w:p w14:paraId="716214AF" w14:textId="77777777" w:rsidR="002E0D57" w:rsidRPr="002E0D57" w:rsidRDefault="002E0D57" w:rsidP="002E0D57">
            <w:pPr>
              <w:rPr>
                <w:szCs w:val="18"/>
              </w:rPr>
            </w:pPr>
          </w:p>
          <w:p w14:paraId="5DACF1B3" w14:textId="77777777" w:rsidR="002E0D57" w:rsidRDefault="002E0D57" w:rsidP="002E0D57">
            <w:pPr>
              <w:rPr>
                <w:b w:val="0"/>
                <w:szCs w:val="18"/>
              </w:rPr>
            </w:pPr>
          </w:p>
          <w:p w14:paraId="2A3E5A10" w14:textId="77777777" w:rsidR="002E0D57" w:rsidRDefault="002E0D57" w:rsidP="002E0D57">
            <w:pPr>
              <w:rPr>
                <w:b w:val="0"/>
                <w:szCs w:val="18"/>
              </w:rPr>
            </w:pPr>
          </w:p>
          <w:p w14:paraId="4F531A73" w14:textId="77777777" w:rsidR="002E0D57" w:rsidRPr="002E0D57" w:rsidRDefault="002E0D57" w:rsidP="002E0D57">
            <w:pPr>
              <w:rPr>
                <w:szCs w:val="18"/>
              </w:rPr>
            </w:pPr>
          </w:p>
          <w:p w14:paraId="3ED25F60" w14:textId="77777777" w:rsidR="002E0D57" w:rsidRPr="002E0D57" w:rsidRDefault="002E0D57" w:rsidP="002E0D57">
            <w:pPr>
              <w:tabs>
                <w:tab w:val="left" w:pos="7200"/>
              </w:tabs>
              <w:rPr>
                <w:rStyle w:val="subtext"/>
                <w:rFonts w:ascii="Calibri" w:hAnsi="Calibri"/>
                <w:i/>
                <w:sz w:val="18"/>
                <w:szCs w:val="18"/>
              </w:rPr>
            </w:pPr>
          </w:p>
          <w:p w14:paraId="74916A86" w14:textId="77777777" w:rsidR="002E0D57" w:rsidRDefault="002E0D57" w:rsidP="002E0D57">
            <w:pPr>
              <w:rPr>
                <w:szCs w:val="18"/>
              </w:rPr>
            </w:pPr>
          </w:p>
        </w:tc>
      </w:tr>
    </w:tbl>
    <w:p w14:paraId="72DE0286" w14:textId="77777777" w:rsidR="002E0D57" w:rsidRDefault="002E0D57" w:rsidP="002E0D57">
      <w:pPr>
        <w:rPr>
          <w:b/>
          <w:szCs w:val="18"/>
        </w:rPr>
      </w:pPr>
    </w:p>
    <w:p w14:paraId="51641E49" w14:textId="77777777" w:rsidR="002E0D57" w:rsidRPr="002E0D57" w:rsidRDefault="002E0D57" w:rsidP="002E0D57">
      <w:pPr>
        <w:pStyle w:val="Heading2"/>
      </w:pPr>
      <w:r>
        <w:rPr>
          <w:lang w:val="es"/>
        </w:rPr>
        <w:t xml:space="preserve">LISTA DE DERECHOS </w:t>
      </w:r>
      <w:r>
        <w:rPr>
          <w:b w:val="0"/>
          <w:bCs w:val="0"/>
          <w:color w:val="3E5C61" w:themeColor="accent2"/>
          <w:sz w:val="15"/>
          <w:szCs w:val="15"/>
          <w:lang w:val="es"/>
        </w:rPr>
        <w:t>(Selecciona sólo 2)</w:t>
      </w:r>
    </w:p>
    <w:p w14:paraId="08EAC292" w14:textId="77777777" w:rsidR="002E0D57" w:rsidRPr="002E0D57" w:rsidRDefault="002E0D57" w:rsidP="002E0D57">
      <w:pPr>
        <w:pStyle w:val="ListParagraph"/>
        <w:numPr>
          <w:ilvl w:val="0"/>
          <w:numId w:val="1"/>
        </w:numPr>
        <w:ind w:left="360"/>
        <w:rPr>
          <w:rFonts w:ascii="Calibri" w:hAnsi="Calibri"/>
          <w:sz w:val="18"/>
          <w:szCs w:val="18"/>
        </w:rPr>
      </w:pPr>
      <w:r>
        <w:rPr>
          <w:rFonts w:ascii="Calibri" w:hAnsi="Calibri"/>
          <w:sz w:val="18"/>
          <w:szCs w:val="18"/>
          <w:lang w:val="es"/>
        </w:rPr>
        <w:t>Libertad de religión, de expresión, de prensa, de reunión y de petición.</w:t>
      </w:r>
    </w:p>
    <w:p w14:paraId="31370BAB" w14:textId="77777777" w:rsidR="002E0D57" w:rsidRPr="002E0D57" w:rsidRDefault="002E0D57" w:rsidP="002E0D57">
      <w:pPr>
        <w:pStyle w:val="ListParagraph"/>
        <w:numPr>
          <w:ilvl w:val="0"/>
          <w:numId w:val="1"/>
        </w:numPr>
        <w:ind w:left="360"/>
        <w:rPr>
          <w:rFonts w:ascii="Calibri" w:hAnsi="Calibri"/>
          <w:sz w:val="18"/>
          <w:szCs w:val="18"/>
        </w:rPr>
      </w:pPr>
      <w:r>
        <w:rPr>
          <w:rFonts w:ascii="Calibri" w:hAnsi="Calibri"/>
          <w:sz w:val="18"/>
          <w:szCs w:val="18"/>
          <w:lang w:val="es"/>
        </w:rPr>
        <w:t>Derecho a tener y portar armas.</w:t>
      </w:r>
    </w:p>
    <w:p w14:paraId="27C7748B" w14:textId="77777777" w:rsidR="002E0D57" w:rsidRPr="002E0D57" w:rsidRDefault="002E0D57" w:rsidP="002E0D57">
      <w:pPr>
        <w:pStyle w:val="ListParagraph"/>
        <w:numPr>
          <w:ilvl w:val="0"/>
          <w:numId w:val="1"/>
        </w:numPr>
        <w:ind w:left="360"/>
        <w:rPr>
          <w:rFonts w:ascii="Calibri" w:hAnsi="Calibri"/>
          <w:sz w:val="18"/>
          <w:szCs w:val="18"/>
        </w:rPr>
      </w:pPr>
      <w:r>
        <w:rPr>
          <w:rFonts w:ascii="Calibri" w:hAnsi="Calibri"/>
          <w:sz w:val="18"/>
          <w:szCs w:val="18"/>
          <w:lang w:val="es"/>
        </w:rPr>
        <w:t>No hay acuartelamiento de soldados.</w:t>
      </w:r>
    </w:p>
    <w:p w14:paraId="29CEAEAC" w14:textId="77777777" w:rsidR="002E0D57" w:rsidRPr="002E0D57" w:rsidRDefault="002E0D57" w:rsidP="002E0D57">
      <w:pPr>
        <w:pStyle w:val="ListParagraph"/>
        <w:numPr>
          <w:ilvl w:val="0"/>
          <w:numId w:val="1"/>
        </w:numPr>
        <w:ind w:left="360"/>
        <w:rPr>
          <w:rFonts w:ascii="Calibri" w:hAnsi="Calibri"/>
          <w:sz w:val="18"/>
          <w:szCs w:val="18"/>
        </w:rPr>
      </w:pPr>
      <w:r>
        <w:rPr>
          <w:rFonts w:ascii="Calibri" w:hAnsi="Calibri"/>
          <w:sz w:val="18"/>
          <w:szCs w:val="18"/>
          <w:lang w:val="es"/>
        </w:rPr>
        <w:t>Regulación del derecho de registro e incautación.</w:t>
      </w:r>
    </w:p>
    <w:p w14:paraId="790FBC78" w14:textId="77777777" w:rsidR="002E0D57" w:rsidRPr="002E0D57" w:rsidRDefault="002E0D57" w:rsidP="002E0D57">
      <w:pPr>
        <w:pStyle w:val="ListParagraph"/>
        <w:numPr>
          <w:ilvl w:val="0"/>
          <w:numId w:val="1"/>
        </w:numPr>
        <w:ind w:left="360"/>
        <w:rPr>
          <w:rFonts w:ascii="Calibri" w:hAnsi="Calibri"/>
          <w:sz w:val="18"/>
          <w:szCs w:val="18"/>
        </w:rPr>
      </w:pPr>
      <w:r>
        <w:rPr>
          <w:rFonts w:ascii="Calibri" w:hAnsi="Calibri"/>
          <w:sz w:val="18"/>
          <w:szCs w:val="18"/>
          <w:lang w:val="es"/>
        </w:rPr>
        <w:t>Protección de las personas y sus bienes.</w:t>
      </w:r>
    </w:p>
    <w:p w14:paraId="6BBE4C70" w14:textId="77777777" w:rsidR="002E0D57" w:rsidRPr="002E0D57" w:rsidRDefault="002E0D57" w:rsidP="002E0D57">
      <w:pPr>
        <w:pStyle w:val="ListParagraph"/>
        <w:numPr>
          <w:ilvl w:val="0"/>
          <w:numId w:val="1"/>
        </w:numPr>
        <w:ind w:left="360"/>
        <w:rPr>
          <w:rFonts w:ascii="Calibri" w:hAnsi="Calibri"/>
          <w:sz w:val="18"/>
          <w:szCs w:val="18"/>
        </w:rPr>
      </w:pPr>
      <w:r>
        <w:rPr>
          <w:rFonts w:ascii="Calibri" w:hAnsi="Calibri"/>
          <w:sz w:val="18"/>
          <w:szCs w:val="18"/>
          <w:lang w:val="es"/>
        </w:rPr>
        <w:t>Derechos de las personas acusadas de un delito.</w:t>
      </w:r>
    </w:p>
    <w:p w14:paraId="7E8766D6" w14:textId="77777777" w:rsidR="002E0D57" w:rsidRPr="002E0D57" w:rsidRDefault="002E0D57" w:rsidP="002E0D57">
      <w:pPr>
        <w:pStyle w:val="ListParagraph"/>
        <w:numPr>
          <w:ilvl w:val="0"/>
          <w:numId w:val="1"/>
        </w:numPr>
        <w:ind w:left="360"/>
        <w:rPr>
          <w:rFonts w:ascii="Calibri" w:hAnsi="Calibri"/>
          <w:sz w:val="18"/>
          <w:szCs w:val="18"/>
        </w:rPr>
      </w:pPr>
      <w:r>
        <w:rPr>
          <w:rFonts w:ascii="Calibri" w:hAnsi="Calibri"/>
          <w:sz w:val="18"/>
          <w:szCs w:val="18"/>
          <w:lang w:val="es"/>
        </w:rPr>
        <w:t>Derecho a un juicio con jurado.</w:t>
      </w:r>
    </w:p>
    <w:p w14:paraId="2B810D37" w14:textId="77777777" w:rsidR="002E0D57" w:rsidRPr="002E0D57" w:rsidRDefault="002E0D57" w:rsidP="002E0D57">
      <w:pPr>
        <w:pStyle w:val="ListParagraph"/>
        <w:numPr>
          <w:ilvl w:val="0"/>
          <w:numId w:val="1"/>
        </w:numPr>
        <w:ind w:left="360"/>
        <w:rPr>
          <w:rFonts w:ascii="Calibri" w:hAnsi="Calibri"/>
          <w:sz w:val="18"/>
          <w:szCs w:val="18"/>
        </w:rPr>
      </w:pPr>
      <w:r>
        <w:rPr>
          <w:rFonts w:ascii="Calibri" w:hAnsi="Calibri"/>
          <w:sz w:val="18"/>
          <w:szCs w:val="18"/>
          <w:lang w:val="es"/>
        </w:rPr>
        <w:t>Protección contra fianzas y penas excesivas.</w:t>
      </w:r>
    </w:p>
    <w:p w14:paraId="10E4B8FF" w14:textId="77777777" w:rsidR="002E0D57" w:rsidRPr="002E0D57" w:rsidRDefault="002E0D57" w:rsidP="002E0D57">
      <w:pPr>
        <w:pStyle w:val="ListParagraph"/>
        <w:numPr>
          <w:ilvl w:val="0"/>
          <w:numId w:val="1"/>
        </w:numPr>
        <w:ind w:left="360"/>
        <w:rPr>
          <w:rFonts w:ascii="Calibri" w:hAnsi="Calibri"/>
          <w:sz w:val="18"/>
          <w:szCs w:val="18"/>
        </w:rPr>
      </w:pPr>
      <w:r>
        <w:rPr>
          <w:rFonts w:ascii="Calibri" w:hAnsi="Calibri"/>
          <w:sz w:val="18"/>
          <w:szCs w:val="18"/>
          <w:lang w:val="es"/>
        </w:rPr>
        <w:t>La Constitución no enumera todos los derechos individuales.</w:t>
      </w:r>
    </w:p>
    <w:p w14:paraId="3199C316" w14:textId="77777777" w:rsidR="002E0D57" w:rsidRPr="002E0D57" w:rsidRDefault="002E0D57" w:rsidP="002E0D57">
      <w:pPr>
        <w:pStyle w:val="ListParagraph"/>
        <w:numPr>
          <w:ilvl w:val="0"/>
          <w:numId w:val="1"/>
        </w:numPr>
        <w:ind w:left="360"/>
        <w:rPr>
          <w:rFonts w:ascii="Calibri" w:hAnsi="Calibri"/>
          <w:sz w:val="18"/>
          <w:szCs w:val="18"/>
        </w:rPr>
      </w:pPr>
      <w:r>
        <w:rPr>
          <w:rFonts w:ascii="Calibri" w:hAnsi="Calibri"/>
          <w:sz w:val="18"/>
          <w:szCs w:val="18"/>
          <w:lang w:val="es"/>
        </w:rPr>
        <w:t xml:space="preserve">Poderes reservados a los Estados y al Pueblo. </w:t>
      </w:r>
    </w:p>
    <w:p w14:paraId="7FCE3C71" w14:textId="591930E6" w:rsidR="00B441CE" w:rsidRPr="002E0D57" w:rsidRDefault="00B441CE" w:rsidP="002E0D57">
      <w:pPr>
        <w:rPr>
          <w:rStyle w:val="subtext"/>
          <w:rFonts w:ascii="Calibri" w:hAnsi="Calibri"/>
          <w:i/>
          <w:sz w:val="18"/>
          <w:szCs w:val="18"/>
        </w:rPr>
      </w:pPr>
    </w:p>
    <w:sectPr w:rsidR="00B441CE" w:rsidRPr="002E0D57" w:rsidSect="00B441CE">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D190" w14:textId="77777777" w:rsidR="00322070" w:rsidRDefault="00322070" w:rsidP="000858BD">
      <w:r>
        <w:separator/>
      </w:r>
    </w:p>
  </w:endnote>
  <w:endnote w:type="continuationSeparator" w:id="0">
    <w:p w14:paraId="2A7707C6" w14:textId="77777777" w:rsidR="00322070" w:rsidRDefault="00322070"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HGPMinchoE">
    <w:altName w:val="HGP明朝E"/>
    <w:charset w:val="80"/>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Roman">
    <w:altName w:val="Times New Roman"/>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OpenSans">
    <w:altName w:val="Open Sans"/>
    <w:charset w:val="00"/>
    <w:family w:val="auto"/>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77777777" w:rsidR="00D90E83" w:rsidRDefault="00D90E83"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7DFA9626" w:rsidR="00D90E83" w:rsidRDefault="002E0D57" w:rsidP="00BA35C3">
                          <w:pPr>
                            <w:pStyle w:val="Heading3"/>
                          </w:pPr>
                          <w:proofErr w:type="gramStart"/>
                          <w:r>
                            <w:rPr>
                              <w:bCs/>
                              <w:lang w:val="es"/>
                            </w:rPr>
                            <w:t>DO I HAVE A RIGHT?</w:t>
                          </w:r>
                          <w:proofErr w:type="gramEnd"/>
                        </w:p>
                        <w:p w14:paraId="7A508491" w14:textId="77777777" w:rsidR="002E0D57" w:rsidRPr="002E0D57" w:rsidRDefault="002E0D57" w:rsidP="002E0D57"/>
                        <w:p w14:paraId="269DF973" w14:textId="77777777" w:rsidR="00D90E83" w:rsidRDefault="00D90E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5F0D91C4" w14:textId="7DFA9626" w:rsidR="00D90E83" w:rsidRDefault="002E0D57" w:rsidP="00BA35C3">
                    <w:pPr>
                      <w:pStyle w:val="Heading3"/>
                    </w:pPr>
                    <w:proofErr w:type="gramStart"/>
                    <w:r>
                      <w:rPr>
                        <w:bCs/>
                        <w:lang w:val="es"/>
                      </w:rPr>
                      <w:t>DO I HAVE A RIGHT?</w:t>
                    </w:r>
                    <w:proofErr w:type="gramEnd"/>
                  </w:p>
                  <w:p w14:paraId="7A508491" w14:textId="77777777" w:rsidR="002E0D57" w:rsidRPr="002E0D57" w:rsidRDefault="002E0D57" w:rsidP="002E0D57"/>
                  <w:p w14:paraId="269DF973" w14:textId="77777777" w:rsidR="00D90E83" w:rsidRDefault="00D90E83"/>
                </w:txbxContent>
              </v:textbox>
            </v:shape>
          </w:pict>
        </mc:Fallback>
      </mc:AlternateContent>
    </w:r>
    <w:r>
      <w:rPr>
        <w:lang w:val="es"/>
      </w:rPr>
      <w:t xml:space="preserve"> </w:t>
    </w:r>
    <w:r>
      <w:rPr>
        <w:lang w:val="es"/>
      </w:rPr>
      <w:tab/>
    </w:r>
    <w:r>
      <w:rPr>
        <w:noProof/>
        <w:lang w:val="es"/>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21F15" w14:textId="77777777" w:rsidR="00322070" w:rsidRDefault="00322070" w:rsidP="000858BD">
      <w:r>
        <w:separator/>
      </w:r>
    </w:p>
  </w:footnote>
  <w:footnote w:type="continuationSeparator" w:id="0">
    <w:p w14:paraId="426D3E5C" w14:textId="77777777" w:rsidR="00322070" w:rsidRDefault="00322070" w:rsidP="00085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F5335"/>
    <w:multiLevelType w:val="hybridMultilevel"/>
    <w:tmpl w:val="BF1E74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3757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BD"/>
    <w:rsid w:val="000858BD"/>
    <w:rsid w:val="001D4D49"/>
    <w:rsid w:val="002E0D57"/>
    <w:rsid w:val="00322070"/>
    <w:rsid w:val="005B2A6C"/>
    <w:rsid w:val="00604099"/>
    <w:rsid w:val="00612275"/>
    <w:rsid w:val="008D7BCD"/>
    <w:rsid w:val="00921661"/>
    <w:rsid w:val="00A57937"/>
    <w:rsid w:val="00A841D3"/>
    <w:rsid w:val="00AB38AC"/>
    <w:rsid w:val="00B441CE"/>
    <w:rsid w:val="00BA35C3"/>
    <w:rsid w:val="00BF54CA"/>
    <w:rsid w:val="00D77E23"/>
    <w:rsid w:val="00D90E83"/>
    <w:rsid w:val="00DA0A2B"/>
    <w:rsid w:val="00E57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C3"/>
    <w:pPr>
      <w:spacing w:before="120" w:after="120"/>
    </w:pPr>
    <w:rPr>
      <w:rFonts w:ascii="Calibri" w:hAnsi="Calibri"/>
      <w:color w:val="2E2E2E" w:themeColor="text1"/>
      <w:sz w:val="18"/>
    </w:rPr>
  </w:style>
  <w:style w:type="paragraph" w:styleId="Heading1">
    <w:name w:val="heading 1"/>
    <w:basedOn w:val="Normal"/>
    <w:next w:val="Normal"/>
    <w:link w:val="Heading1Char"/>
    <w:uiPriority w:val="9"/>
    <w:qFormat/>
    <w:rsid w:val="00BA35C3"/>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BA35C3"/>
    <w:pPr>
      <w:keepNext/>
      <w:keepLines/>
      <w:spacing w:before="0" w:after="0"/>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customStyle="1" w:styleId="BasicParagraph">
    <w:name w:val="[Basic Paragraph]"/>
    <w:basedOn w:val="Normal"/>
    <w:uiPriority w:val="99"/>
    <w:rsid w:val="00921661"/>
    <w:pPr>
      <w:widowControl w:val="0"/>
      <w:autoSpaceDE w:val="0"/>
      <w:autoSpaceDN w:val="0"/>
      <w:adjustRightInd w:val="0"/>
      <w:spacing w:line="288" w:lineRule="auto"/>
      <w:textAlignment w:val="center"/>
    </w:pPr>
    <w:rPr>
      <w:rFonts w:ascii="Times-Roman" w:hAnsi="Times-Roman" w:cs="Times-Roman"/>
      <w:color w:val="000000"/>
      <w:sz w:val="24"/>
    </w:rPr>
  </w:style>
  <w:style w:type="paragraph" w:customStyle="1" w:styleId="PullQuote">
    <w:name w:val="Pull Quote"/>
    <w:basedOn w:val="BasicParagraph"/>
    <w:qFormat/>
    <w:rsid w:val="00D90E83"/>
    <w:pPr>
      <w:suppressAutoHyphens/>
      <w:spacing w:before="180" w:line="240" w:lineRule="auto"/>
      <w:ind w:left="720" w:right="720"/>
    </w:pPr>
    <w:rPr>
      <w:rFonts w:ascii="Calibri" w:hAnsi="Calibri"/>
      <w:color w:val="85592C" w:themeColor="accent4"/>
      <w:sz w:val="22"/>
    </w:r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BA35C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BA35C3"/>
    <w:pPr>
      <w:tabs>
        <w:tab w:val="center" w:pos="4680"/>
        <w:tab w:val="right" w:pos="9360"/>
      </w:tabs>
    </w:pPr>
  </w:style>
  <w:style w:type="character" w:customStyle="1" w:styleId="FooterChar">
    <w:name w:val="Footer Char"/>
    <w:basedOn w:val="DefaultParagraphFont"/>
    <w:link w:val="Footer"/>
    <w:uiPriority w:val="99"/>
    <w:rsid w:val="00BA35C3"/>
    <w:rPr>
      <w:rFonts w:ascii="Calibri" w:hAnsi="Calibri"/>
      <w:color w:val="2E2E2E" w:themeColor="text1"/>
      <w:sz w:val="18"/>
    </w:rPr>
  </w:style>
  <w:style w:type="character" w:customStyle="1" w:styleId="Heading3Char">
    <w:name w:val="Heading 3 Char"/>
    <w:basedOn w:val="DefaultParagraphFont"/>
    <w:link w:val="Heading3"/>
    <w:uiPriority w:val="9"/>
    <w:rsid w:val="00BA35C3"/>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2E0D57"/>
    <w:pPr>
      <w:spacing w:before="0" w:after="0"/>
      <w:ind w:left="720"/>
      <w:contextualSpacing/>
    </w:pPr>
    <w:rPr>
      <w:rFonts w:asciiTheme="minorHAnsi" w:hAnsiTheme="minorHAnsi"/>
      <w:color w:val="auto"/>
      <w:sz w:val="24"/>
    </w:rPr>
  </w:style>
  <w:style w:type="table" w:styleId="GridTable1Light-Accent2">
    <w:name w:val="Grid Table 1 Light Accent 2"/>
    <w:basedOn w:val="TableNormal"/>
    <w:uiPriority w:val="46"/>
    <w:rsid w:val="002E0D57"/>
    <w:tblPr>
      <w:tblStyleRowBandSize w:val="1"/>
      <w:tblStyleColBandSize w:val="1"/>
      <w:tblBorders>
        <w:top w:val="single" w:sz="4" w:space="0" w:color="A9C3C8" w:themeColor="accent2" w:themeTint="66"/>
        <w:left w:val="single" w:sz="4" w:space="0" w:color="A9C3C8" w:themeColor="accent2" w:themeTint="66"/>
        <w:bottom w:val="single" w:sz="4" w:space="0" w:color="A9C3C8" w:themeColor="accent2" w:themeTint="66"/>
        <w:right w:val="single" w:sz="4" w:space="0" w:color="A9C3C8" w:themeColor="accent2" w:themeTint="66"/>
        <w:insideH w:val="single" w:sz="4" w:space="0" w:color="A9C3C8" w:themeColor="accent2" w:themeTint="66"/>
        <w:insideV w:val="single" w:sz="4" w:space="0" w:color="A9C3C8" w:themeColor="accent2" w:themeTint="66"/>
      </w:tblBorders>
    </w:tblPr>
    <w:tblStylePr w:type="firstRow">
      <w:rPr>
        <w:b/>
        <w:bCs/>
      </w:rPr>
      <w:tblPr/>
      <w:tcPr>
        <w:tcBorders>
          <w:bottom w:val="single" w:sz="12" w:space="0" w:color="7EA6AC" w:themeColor="accent2" w:themeTint="99"/>
        </w:tcBorders>
      </w:tcPr>
    </w:tblStylePr>
    <w:tblStylePr w:type="lastRow">
      <w:rPr>
        <w:b/>
        <w:bCs/>
      </w:rPr>
      <w:tblPr/>
      <w:tcPr>
        <w:tcBorders>
          <w:top w:val="double" w:sz="2" w:space="0" w:color="7EA6AC"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I Have a Right?</dc:title>
  <dc:subject/>
  <dc:creator>K20 Center</dc:creator>
  <cp:keywords/>
  <dc:description/>
  <cp:lastModifiedBy>Bigler, Elijah B.</cp:lastModifiedBy>
  <cp:revision>4</cp:revision>
  <dcterms:created xsi:type="dcterms:W3CDTF">2015-10-05T16:10:00Z</dcterms:created>
  <dcterms:modified xsi:type="dcterms:W3CDTF">2023-07-25T14:55:00Z</dcterms:modified>
</cp:coreProperties>
</file>