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8AC" w:rsidRPr="00D168AC" w:rsidRDefault="00D168AC" w:rsidP="00D168AC">
      <w:pPr>
        <w:shd w:val="clear" w:color="auto" w:fill="F8F9F4"/>
        <w:spacing w:before="100" w:beforeAutospacing="1" w:after="100" w:afterAutospacing="1" w:line="240" w:lineRule="auto"/>
        <w:jc w:val="center"/>
        <w:outlineLvl w:val="2"/>
        <w:rPr>
          <w:rFonts w:ascii="Georgia" w:eastAsia="Times New Roman" w:hAnsi="Georgia" w:cs="Times New Roman"/>
          <w:b/>
          <w:bCs/>
          <w:color w:val="171E24"/>
          <w:sz w:val="27"/>
          <w:szCs w:val="27"/>
        </w:rPr>
        <w:bidi w:val="0"/>
      </w:pPr>
      <w:r>
        <w:rPr>
          <w:rFonts w:ascii="Georgia" w:cs="Times New Roman" w:eastAsia="Times New Roman" w:hAnsi="Georgia"/>
          <w:color w:val="171E24"/>
          <w:sz w:val="27"/>
          <w:szCs w:val="27"/>
          <w:lang w:val="es"/>
          <w:b w:val="1"/>
          <w:bCs w:val="1"/>
          <w:i w:val="0"/>
          <w:iCs w:val="0"/>
          <w:u w:val="none"/>
          <w:vertAlign w:val="baseline"/>
          <w:rtl w:val="0"/>
        </w:rPr>
        <w:t xml:space="preserve">La Ley de Derecho al Voto de 1965</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La Ley de Derecho al Voto de 1965, firmada por el presidente Lyndon B. Johnson, tenía como objetivo superar las barreras legales a nivel estatal y local que impedían a los afroamericanos ejercer su derecho al voto, garantizado por la 15.ª enmienda a la Constitución de los Estados Unidos. La Ley de Derecho al Voto es considerada una de las leyes de derechos civiles de mayor alcance en la historia de los Estados Unidos.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Lyndon B. Johnson asumió la presidencia en noviembre de 1963 tras el asesinato del presidente John F. Kennedy. En la carrera presidencial de 1964, Johnson fue elegido oficialmente con una victoria aplastante y utilizó este mandato para impulsar leyes que creía que mejorarían el estilo de vida estadounidense, como leyes más estrictas sobre el derecho al voto.</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Tras la Guerra Civil, la 15.ª Enmienda, ratificada en 1870, prohibió a los estados negar a un ciudadano varón el derecho al voto por motivos de "raza, color o condición previa de servidumbre". Sin embargo, en las décadas siguientes, se utilizaron diversas prácticas discriminatorias para impedir que los afroamericanos, especialmente los del sur, ejercieran su derecho al voto.</w:t>
      </w:r>
    </w:p>
    <w:p w:rsidR="00DE22BD"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Durante el movimiento por los derechos civiles de las décadas de 1950 y 1960, los activistas del derecho al voto en el sur fueron objeto de diversas formas de maltrato y violencia. Un suceso que indignó a muchos estadounidenses ocurrió el 7 de marzo de 1965, cuando los participantes pacíficos en una marcha de Selma a Montgomery a favor del derecho al voto fueron recibidos por policías del estado de Alabama que los atacaron con porras, gases lacrimógenos y látigos después de que se negaran a dar marcha atrás.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Tras el impactante incidente, Johnson pidió una legislación integral sobre el derecho al voto. En un discurso pronunciado ante una sesión conjunta del Congreso el 15 de marzo de 1965, el presidente describió las formas retorcidas en que los funcionarios electorales negaban el voto a los ciudadanos afroamericanos.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Los funcionarios electorales solían decir a los negros que intentaban votar que se habían equivocado de fecha, de hora o de lugar de votación, que su nivel de alfabetización era insuficiente o que habían rellenado mal la solicitud. Los negros, cuya población sufría un alto índice de analfabetismo debido a siglos de opresión y pobreza, a menudo se veían obligados a realizar pruebas de alfabetización, que a veces no aprobaban.</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Johnson también dijo al Congreso que se sabía que los funcionarios encargados de las votaciones, principalmente en los estados del sur, obligaban a los votantes negros a "recitar toda la Constitución o a explicar las disposiciones más complejas de las leyes estatales", una tarea que la mayoría de los votantes blancos habría tenido dificultades para realizar. En algunos casos, incluso los negros con títulos universitarios eran apartados de las urnas.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El proyecto de ley sobre el derecho al voto fue aprobado en el Senado de los Estados Unidos por 77 votos a favor y 19 en contra el 26 de mayo de 1965. Tras debatir el proyecto de ley durante más de un mes, la Cámara de Representantes de los Estados Unidos lo aprobó por 333 votos a favor y 85 en contra el 9 de julio.</w:t>
      </w: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Johnson firmó la Ley de Derecho al Voto el 6 de agosto de 1965, con la presencia de Martin Luther King Jr. y de otros dirigentes de derechos civiles en la ceremonia.  La ley prohibía el uso de pruebas de alfabetización, preveía la supervisión federal del registro de votantes en zonas en las que menos del 50% de la población no blanca no se había registrado para votar, y autorizaba al fiscal general de los Estados Unidos a investigar el uso de impuestos electorales en las elecciones estatales y locales.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En 1964, la 24.ª Enmienda hizo que los impuestos electorales fueran ilegales en las elecciones federales; en 1966, la Corte Suprema de los Estados Unidos prohibió los impuestos electorales en las elecciones estatales.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En 1965, cuando se aprobó la Ley de Derecho al Voto, había seis miembros afroamericanos en la Cámara de Representantes de los Estados Unidos y ningún negro en el Senado. En 1971, había 13 miembros en la Cámara y un miembro negro en el Senado.</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Aunque se aprobó la Ley de Derecho al Voto, su aplicación a nivel estatal y local fue escasa, y a menudo se ignoró por completo, sobre todo en el sur y en zonas donde la proporción de negros en la población era elevada y su voto amenazaba el </w:t>
      </w:r>
      <w:r>
        <w:rPr>
          <w:rFonts w:cstheme="minorHAnsi" w:eastAsia="Times New Roman"/>
          <w:color w:val="171E24"/>
          <w:sz w:val="24"/>
          <w:szCs w:val="24"/>
          <w:lang w:val="es"/>
          <w:b w:val="0"/>
          <w:bCs w:val="0"/>
          <w:i w:val="1"/>
          <w:iCs w:val="1"/>
          <w:u w:val="none"/>
          <w:vertAlign w:val="baseline"/>
          <w:rtl w:val="0"/>
        </w:rPr>
        <w:t xml:space="preserve">statu quo</w:t>
      </w:r>
      <w:r>
        <w:rPr>
          <w:rFonts w:cstheme="minorHAnsi" w:eastAsia="Times New Roman"/>
          <w:color w:val="171E24"/>
          <w:sz w:val="24"/>
          <w:szCs w:val="24"/>
          <w:lang w:val="es"/>
          <w:b w:val="0"/>
          <w:bCs w:val="0"/>
          <w:i w:val="0"/>
          <w:iCs w:val="0"/>
          <w:u w:val="none"/>
          <w:vertAlign w:val="baseline"/>
          <w:rtl w:val="0"/>
        </w:rPr>
        <w:t xml:space="preserve"> político.</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Aun así, la Ley de Derecho al Voto dio a los votantes afroamericanos los medios legales para desafiar las restricciones al voto y mejoró enormemente la participación electoral. Solo en Misisipi, la participación electoral de los negros aumentó del 6% en 1964 al 59% en 1969.</w:t>
      </w:r>
    </w:p>
    <w:p w:rsid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Desde su aprobación, la Ley de Derecho al Voto ha sido modificada para incluir aspectos como la protección del derecho al voto de los ciudadanos estadounidenses que no hablan inglés.</w:t>
      </w: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bidi w:val="0"/>
      </w:pPr>
      <w:r>
        <w:rPr>
          <w:rFonts w:cstheme="minorHAnsi" w:eastAsia="Times New Roman"/>
          <w:color w:val="171E24"/>
          <w:sz w:val="24"/>
          <w:szCs w:val="24"/>
          <w:lang w:val="es"/>
          <w:b w:val="0"/>
          <w:bCs w:val="0"/>
          <w:i w:val="0"/>
          <w:iCs w:val="0"/>
          <w:u w:val="none"/>
          <w:vertAlign w:val="baseline"/>
          <w:rtl w:val="0"/>
        </w:rPr>
        <w:t xml:space="preserve">Fuente: Personal de History.com. (2009).  Voting rights act of 1965. History.com. Extraído de: </w:t>
      </w:r>
      <w:hyperlink r:id="rId6" w:history="1">
        <w:r>
          <w:rPr>
            <w:rStyle w:val="Hyperlink"/>
            <w:rFonts w:cstheme="minorHAnsi" w:eastAsia="Times New Roman"/>
            <w:sz w:val="24"/>
            <w:szCs w:val="24"/>
            <w:lang w:val="es"/>
            <w:b w:val="0"/>
            <w:bCs w:val="0"/>
            <w:i w:val="0"/>
            <w:iCs w:val="0"/>
            <w:u w:val="single"/>
            <w:vertAlign w:val="baseline"/>
            <w:rtl w:val="0"/>
          </w:rPr>
          <w:t xml:space="preserve">https://www.history.com/topics/black-history/voting-rights-act</w:t>
        </w:r>
      </w:hyperlink>
    </w:p>
    <w:p w:rsidR="00DE22BD" w:rsidRPr="00D168AC"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sectPr w:rsidR="00DE22BD" w:rsidRPr="00D168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4B9" w:rsidRDefault="008A14B9" w:rsidP="00DE22BD">
      <w:pPr>
        <w:spacing w:after="0" w:line="240" w:lineRule="auto"/>
      </w:pPr>
      <w:r>
        <w:separator/>
      </w:r>
    </w:p>
  </w:endnote>
  <w:endnote w:type="continuationSeparator" w:id="0">
    <w:p w:rsidR="008A14B9" w:rsidRDefault="008A14B9" w:rsidP="00DE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BD" w:rsidRDefault="00DE22BD" w:rsidP="00DE22BD">
    <w:pPr>
      <w:pStyle w:val="Footer"/>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-19050</wp:posOffset>
              </wp:positionV>
              <wp:extent cx="2600325" cy="3143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lt1"/>
                      </a:solidFill>
                      <a:ln w="6350">
                        <a:noFill/>
                      </a:ln>
                    </wps:spPr>
                    <wps:txbx>
                      <w:txbxContent>
                        <w:p w:rsidR="00DE22BD" w:rsidRDefault="00DE22BD" w:rsidP="00DE22BD">
                          <w:pPr>
                            <w:jc w:val="right"/>
                            <w:bidi w:val="0"/>
                          </w:pPr>
                          <w:r>
                            <w:rPr>
                              <w:lang w:val="es"/>
                              <w:b w:val="0"/>
                              <w:bCs w:val="0"/>
                              <w:i w:val="0"/>
                              <w:iCs w:val="0"/>
                              <w:u w:val="none"/>
                              <w:vertAlign w:val="baseline"/>
                              <w:rtl w:val="0"/>
                            </w:rPr>
                            <w:t xml:space="preserve">LBJ AND VOTING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5pt;width:204.7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" fillcolor="white [3201]" stroked="f" strokeweight=".5pt">
              <v:textbox>
                <w:txbxContent>
                  <w:p w:rsidR="00DE22BD" w:rsidRDefault="00DE22BD" w:rsidP="00DE22BD">
                    <w:pPr>
                      <w:jc w:val="right"/>
                      <w:bidi w:val="0"/>
                    </w:pPr>
                    <w:r>
                      <w:rPr>
                        <w:lang w:val="es"/>
                        <w:b w:val="0"/>
                        <w:bCs w:val="0"/>
                        <w:i w:val="0"/>
                        <w:iCs w:val="0"/>
                        <w:u w:val="none"/>
                        <w:vertAlign w:val="baseline"/>
                        <w:rtl w:val="0"/>
                      </w:rPr>
                      <w:t xml:space="preserve">LBJ AND VOTING RIGHTS</w:t>
                    </w:r>
                  </w:p>
                </w:txbxContent>
              </v:textbox>
            </v:shape>
          </w:pict>
        </mc:Fallback>
      </mc:AlternateContent>
    </w:r>
    <w:r>
      <w:rPr>
        <w:noProof/>
        <w:lang w:val="es"/>
        <w:b w:val="0"/>
        <w:bCs w:val="0"/>
        <w:i w:val="0"/>
        <w:iCs w:val="0"/>
        <w:u w:val="none"/>
        <w:vertAlign w:val="baseline"/>
        <w:rtl w:val="0"/>
      </w:rPr>
      <w:drawing>
        <wp:inline distT="0" distB="0" distL="0" distR="0">
          <wp:extent cx="45720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4B9" w:rsidRDefault="008A14B9" w:rsidP="00DE22BD">
      <w:pPr>
        <w:spacing w:after="0" w:line="240" w:lineRule="auto"/>
      </w:pPr>
      <w:r>
        <w:separator/>
      </w:r>
    </w:p>
  </w:footnote>
  <w:footnote w:type="continuationSeparator" w:id="0">
    <w:p w:rsidR="008A14B9" w:rsidRDefault="008A14B9" w:rsidP="00DE2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C"/>
    <w:rsid w:val="00374830"/>
    <w:rsid w:val="008A14B9"/>
    <w:rsid w:val="00D0612A"/>
    <w:rsid w:val="00D168AC"/>
    <w:rsid w:val="00DE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FF627"/>
  <w15:chartTrackingRefBased/>
  <w15:docId w15:val="{1A374FD8-5B7C-4B7B-8997-E60ABDB8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168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68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168A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8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8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8AC"/>
    <w:rPr>
      <w:color w:val="0000FF"/>
      <w:u w:val="single"/>
    </w:rPr>
  </w:style>
  <w:style w:type="character" w:styleId="Emphasis">
    <w:name w:val="Emphasis"/>
    <w:basedOn w:val="DefaultParagraphFont"/>
    <w:uiPriority w:val="20"/>
    <w:qFormat/>
    <w:rsid w:val="00D168AC"/>
    <w:rPr>
      <w:i/>
      <w:iCs/>
    </w:rPr>
  </w:style>
  <w:style w:type="character" w:customStyle="1" w:styleId="Heading2Char">
    <w:name w:val="Heading 2 Char"/>
    <w:basedOn w:val="DefaultParagraphFont"/>
    <w:link w:val="Heading2"/>
    <w:uiPriority w:val="9"/>
    <w:semiHidden/>
    <w:rsid w:val="00D168AC"/>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168AC"/>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DE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2BD"/>
  </w:style>
  <w:style w:type="paragraph" w:styleId="Footer">
    <w:name w:val="footer"/>
    <w:basedOn w:val="Normal"/>
    <w:link w:val="FooterChar"/>
    <w:uiPriority w:val="99"/>
    <w:unhideWhenUsed/>
    <w:rsid w:val="00DE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2BD"/>
  </w:style>
  <w:style w:type="character" w:styleId="UnresolvedMention">
    <w:name w:val="Unresolved Mention"/>
    <w:basedOn w:val="DefaultParagraphFont"/>
    <w:uiPriority w:val="99"/>
    <w:semiHidden/>
    <w:unhideWhenUsed/>
    <w:rsid w:val="00DE2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64976">
      <w:bodyDiv w:val="1"/>
      <w:marLeft w:val="0"/>
      <w:marRight w:val="0"/>
      <w:marTop w:val="0"/>
      <w:marBottom w:val="0"/>
      <w:divBdr>
        <w:top w:val="none" w:sz="0" w:space="0" w:color="auto"/>
        <w:left w:val="none" w:sz="0" w:space="0" w:color="auto"/>
        <w:bottom w:val="none" w:sz="0" w:space="0" w:color="auto"/>
        <w:right w:val="none" w:sz="0" w:space="0" w:color="auto"/>
      </w:divBdr>
      <w:divsChild>
        <w:div w:id="984821225">
          <w:marLeft w:val="0"/>
          <w:marRight w:val="0"/>
          <w:marTop w:val="0"/>
          <w:marBottom w:val="0"/>
          <w:divBdr>
            <w:top w:val="none" w:sz="0" w:space="0" w:color="auto"/>
            <w:left w:val="none" w:sz="0" w:space="0" w:color="auto"/>
            <w:bottom w:val="none" w:sz="0" w:space="0" w:color="auto"/>
            <w:right w:val="none" w:sz="0" w:space="0" w:color="auto"/>
          </w:divBdr>
          <w:divsChild>
            <w:div w:id="1550460151">
              <w:marLeft w:val="0"/>
              <w:marRight w:val="0"/>
              <w:marTop w:val="0"/>
              <w:marBottom w:val="240"/>
              <w:divBdr>
                <w:top w:val="none" w:sz="0" w:space="0" w:color="auto"/>
                <w:left w:val="none" w:sz="0" w:space="0" w:color="auto"/>
                <w:bottom w:val="none" w:sz="0" w:space="0" w:color="auto"/>
                <w:right w:val="none" w:sz="0" w:space="0" w:color="auto"/>
              </w:divBdr>
              <w:divsChild>
                <w:div w:id="1402557975">
                  <w:marLeft w:val="0"/>
                  <w:marRight w:val="0"/>
                  <w:marTop w:val="0"/>
                  <w:marBottom w:val="0"/>
                  <w:divBdr>
                    <w:top w:val="none" w:sz="0" w:space="0" w:color="auto"/>
                    <w:left w:val="none" w:sz="0" w:space="0" w:color="auto"/>
                    <w:bottom w:val="none" w:sz="0" w:space="0" w:color="auto"/>
                    <w:right w:val="none" w:sz="0" w:space="0" w:color="auto"/>
                  </w:divBdr>
                  <w:divsChild>
                    <w:div w:id="413012385">
                      <w:marLeft w:val="0"/>
                      <w:marRight w:val="0"/>
                      <w:marTop w:val="0"/>
                      <w:marBottom w:val="0"/>
                      <w:divBdr>
                        <w:top w:val="none" w:sz="0" w:space="0" w:color="auto"/>
                        <w:left w:val="none" w:sz="0" w:space="0" w:color="auto"/>
                        <w:bottom w:val="none" w:sz="0" w:space="0" w:color="auto"/>
                        <w:right w:val="none" w:sz="0" w:space="0" w:color="auto"/>
                      </w:divBdr>
                      <w:divsChild>
                        <w:div w:id="2042978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4525283">
      <w:bodyDiv w:val="1"/>
      <w:marLeft w:val="0"/>
      <w:marRight w:val="0"/>
      <w:marTop w:val="0"/>
      <w:marBottom w:val="0"/>
      <w:divBdr>
        <w:top w:val="none" w:sz="0" w:space="0" w:color="auto"/>
        <w:left w:val="none" w:sz="0" w:space="0" w:color="auto"/>
        <w:bottom w:val="none" w:sz="0" w:space="0" w:color="auto"/>
        <w:right w:val="none" w:sz="0" w:space="0" w:color="auto"/>
      </w:divBdr>
      <w:divsChild>
        <w:div w:id="1107971587">
          <w:marLeft w:val="0"/>
          <w:marRight w:val="0"/>
          <w:marTop w:val="0"/>
          <w:marBottom w:val="0"/>
          <w:divBdr>
            <w:top w:val="none" w:sz="0" w:space="0" w:color="auto"/>
            <w:left w:val="none" w:sz="0" w:space="0" w:color="auto"/>
            <w:bottom w:val="none" w:sz="0" w:space="0" w:color="auto"/>
            <w:right w:val="none" w:sz="0" w:space="0" w:color="auto"/>
          </w:divBdr>
          <w:divsChild>
            <w:div w:id="91321387">
              <w:marLeft w:val="0"/>
              <w:marRight w:val="0"/>
              <w:marTop w:val="0"/>
              <w:marBottom w:val="0"/>
              <w:divBdr>
                <w:top w:val="none" w:sz="0" w:space="0" w:color="auto"/>
                <w:left w:val="none" w:sz="0" w:space="0" w:color="auto"/>
                <w:bottom w:val="none" w:sz="0" w:space="0" w:color="auto"/>
                <w:right w:val="none" w:sz="0" w:space="0" w:color="auto"/>
              </w:divBdr>
            </w:div>
          </w:divsChild>
        </w:div>
        <w:div w:id="1656252213">
          <w:marLeft w:val="0"/>
          <w:marRight w:val="0"/>
          <w:marTop w:val="0"/>
          <w:marBottom w:val="0"/>
          <w:divBdr>
            <w:top w:val="none" w:sz="0" w:space="0" w:color="auto"/>
            <w:left w:val="none" w:sz="0" w:space="0" w:color="auto"/>
            <w:bottom w:val="none" w:sz="0" w:space="0" w:color="auto"/>
            <w:right w:val="none" w:sz="0" w:space="0" w:color="auto"/>
          </w:divBdr>
          <w:divsChild>
            <w:div w:id="1794327953">
              <w:marLeft w:val="0"/>
              <w:marRight w:val="0"/>
              <w:marTop w:val="0"/>
              <w:marBottom w:val="0"/>
              <w:divBdr>
                <w:top w:val="none" w:sz="0" w:space="0" w:color="auto"/>
                <w:left w:val="none" w:sz="0" w:space="0" w:color="auto"/>
                <w:bottom w:val="none" w:sz="0" w:space="0" w:color="auto"/>
                <w:right w:val="none" w:sz="0" w:space="0" w:color="auto"/>
              </w:divBdr>
            </w:div>
          </w:divsChild>
        </w:div>
        <w:div w:id="945700266">
          <w:marLeft w:val="0"/>
          <w:marRight w:val="0"/>
          <w:marTop w:val="0"/>
          <w:marBottom w:val="0"/>
          <w:divBdr>
            <w:top w:val="none" w:sz="0" w:space="0" w:color="auto"/>
            <w:left w:val="none" w:sz="0" w:space="0" w:color="auto"/>
            <w:bottom w:val="none" w:sz="0" w:space="0" w:color="auto"/>
            <w:right w:val="none" w:sz="0" w:space="0" w:color="auto"/>
          </w:divBdr>
          <w:divsChild>
            <w:div w:id="1889106500">
              <w:marLeft w:val="0"/>
              <w:marRight w:val="0"/>
              <w:marTop w:val="0"/>
              <w:marBottom w:val="0"/>
              <w:divBdr>
                <w:top w:val="none" w:sz="0" w:space="0" w:color="auto"/>
                <w:left w:val="none" w:sz="0" w:space="0" w:color="auto"/>
                <w:bottom w:val="none" w:sz="0" w:space="0" w:color="auto"/>
                <w:right w:val="none" w:sz="0" w:space="0" w:color="auto"/>
              </w:divBdr>
            </w:div>
          </w:divsChild>
        </w:div>
        <w:div w:id="1385911579">
          <w:marLeft w:val="0"/>
          <w:marRight w:val="0"/>
          <w:marTop w:val="0"/>
          <w:marBottom w:val="0"/>
          <w:divBdr>
            <w:top w:val="none" w:sz="0" w:space="0" w:color="auto"/>
            <w:left w:val="none" w:sz="0" w:space="0" w:color="auto"/>
            <w:bottom w:val="none" w:sz="0" w:space="0" w:color="auto"/>
            <w:right w:val="none" w:sz="0" w:space="0" w:color="auto"/>
          </w:divBdr>
          <w:divsChild>
            <w:div w:id="1066955493">
              <w:marLeft w:val="0"/>
              <w:marRight w:val="0"/>
              <w:marTop w:val="0"/>
              <w:marBottom w:val="0"/>
              <w:divBdr>
                <w:top w:val="none" w:sz="0" w:space="0" w:color="auto"/>
                <w:left w:val="none" w:sz="0" w:space="0" w:color="auto"/>
                <w:bottom w:val="none" w:sz="0" w:space="0" w:color="auto"/>
                <w:right w:val="none" w:sz="0" w:space="0" w:color="auto"/>
              </w:divBdr>
            </w:div>
          </w:divsChild>
        </w:div>
        <w:div w:id="2008627194">
          <w:marLeft w:val="0"/>
          <w:marRight w:val="0"/>
          <w:marTop w:val="0"/>
          <w:marBottom w:val="0"/>
          <w:divBdr>
            <w:top w:val="none" w:sz="0" w:space="0" w:color="auto"/>
            <w:left w:val="none" w:sz="0" w:space="0" w:color="auto"/>
            <w:bottom w:val="none" w:sz="0" w:space="0" w:color="auto"/>
            <w:right w:val="none" w:sz="0" w:space="0" w:color="auto"/>
          </w:divBdr>
          <w:divsChild>
            <w:div w:id="113450102">
              <w:marLeft w:val="0"/>
              <w:marRight w:val="0"/>
              <w:marTop w:val="0"/>
              <w:marBottom w:val="0"/>
              <w:divBdr>
                <w:top w:val="none" w:sz="0" w:space="0" w:color="auto"/>
                <w:left w:val="none" w:sz="0" w:space="0" w:color="auto"/>
                <w:bottom w:val="none" w:sz="0" w:space="0" w:color="auto"/>
                <w:right w:val="none" w:sz="0" w:space="0" w:color="auto"/>
              </w:divBdr>
            </w:div>
          </w:divsChild>
        </w:div>
        <w:div w:id="106580753">
          <w:marLeft w:val="0"/>
          <w:marRight w:val="0"/>
          <w:marTop w:val="0"/>
          <w:marBottom w:val="0"/>
          <w:divBdr>
            <w:top w:val="none" w:sz="0" w:space="0" w:color="auto"/>
            <w:left w:val="none" w:sz="0" w:space="0" w:color="auto"/>
            <w:bottom w:val="none" w:sz="0" w:space="0" w:color="auto"/>
            <w:right w:val="none" w:sz="0" w:space="0" w:color="auto"/>
          </w:divBdr>
          <w:divsChild>
            <w:div w:id="525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www.history.com/topics/black-history/voting-rights-act"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McHale, Susan</cp:lastModifiedBy>
  <cp:revision>1</cp:revision>
  <dcterms:created xsi:type="dcterms:W3CDTF">2018-09-05T19:11:00Z</dcterms:created>
  <dcterms:modified xsi:type="dcterms:W3CDTF">2018-09-05T20:11:00Z</dcterms:modified>
</cp:coreProperties>
</file>