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6AB2E7" w14:textId="77BB7864" w:rsidR="00446C13" w:rsidRPr="00E70C7A" w:rsidRDefault="000E5FE3" w:rsidP="00DC7A6D">
      <w:pPr>
        <w:pStyle w:val="Title"/>
        <w:rPr>
          <w:sz w:val="28"/>
          <w:szCs w:val="28"/>
        </w:rPr>
      </w:pPr>
      <w:r w:rsidRPr="00E70C7A">
        <w:rPr>
          <w:sz w:val="28"/>
          <w:szCs w:val="28"/>
        </w:rPr>
        <w:t>Interviewing Techniques</w:t>
      </w:r>
      <w:r w:rsidR="00D6426E" w:rsidRPr="00E70C7A">
        <w:rPr>
          <w:sz w:val="28"/>
          <w:szCs w:val="28"/>
        </w:rPr>
        <w:t xml:space="preserve"> and Guidelines</w:t>
      </w:r>
    </w:p>
    <w:p w14:paraId="2C30F8F2" w14:textId="1CE9E974" w:rsidR="009D6E8D" w:rsidRPr="00E70C7A" w:rsidRDefault="000E5FE3" w:rsidP="009D6E8D">
      <w:pPr>
        <w:pStyle w:val="BodyText"/>
        <w:rPr>
          <w:sz w:val="22"/>
        </w:rPr>
      </w:pPr>
      <w:r w:rsidRPr="00E70C7A">
        <w:rPr>
          <w:sz w:val="22"/>
        </w:rPr>
        <w:t>Below each of the following guidelines, read the filled-in row about the Le</w:t>
      </w:r>
      <w:r w:rsidR="00F1638D" w:rsidRPr="00E70C7A">
        <w:rPr>
          <w:sz w:val="22"/>
        </w:rPr>
        <w:t>B</w:t>
      </w:r>
      <w:r w:rsidRPr="00E70C7A">
        <w:rPr>
          <w:sz w:val="22"/>
        </w:rPr>
        <w:t xml:space="preserve">ron James </w:t>
      </w:r>
      <w:r w:rsidR="00F1638D" w:rsidRPr="00E70C7A">
        <w:rPr>
          <w:sz w:val="22"/>
        </w:rPr>
        <w:t xml:space="preserve">interview. Then, </w:t>
      </w:r>
      <w:r w:rsidR="00757DB5" w:rsidRPr="00E70C7A">
        <w:rPr>
          <w:sz w:val="22"/>
        </w:rPr>
        <w:t>complete</w:t>
      </w:r>
      <w:r w:rsidRPr="00E70C7A">
        <w:rPr>
          <w:sz w:val="22"/>
        </w:rPr>
        <w:t xml:space="preserve"> </w:t>
      </w:r>
      <w:r w:rsidR="00F1638D" w:rsidRPr="00E70C7A">
        <w:rPr>
          <w:sz w:val="22"/>
        </w:rPr>
        <w:t>each</w:t>
      </w:r>
      <w:r w:rsidRPr="00E70C7A">
        <w:rPr>
          <w:sz w:val="22"/>
        </w:rPr>
        <w:t xml:space="preserve"> table with examples and notes </w:t>
      </w:r>
      <w:r w:rsidR="00F1638D" w:rsidRPr="00E70C7A">
        <w:rPr>
          <w:sz w:val="22"/>
        </w:rPr>
        <w:t>from</w:t>
      </w:r>
      <w:r w:rsidRPr="00E70C7A">
        <w:rPr>
          <w:sz w:val="22"/>
        </w:rPr>
        <w:t xml:space="preserve"> the other three videos you watched. </w:t>
      </w:r>
    </w:p>
    <w:p w14:paraId="3AE89ABA" w14:textId="3B5DC921" w:rsidR="00C73EA1" w:rsidRPr="000211AB" w:rsidRDefault="00F1638D" w:rsidP="00D106FF">
      <w:pPr>
        <w:rPr>
          <w:rFonts w:asciiTheme="majorHAnsi" w:eastAsiaTheme="majorEastAsia" w:hAnsiTheme="majorHAnsi" w:cstheme="majorBidi"/>
          <w:b/>
          <w:color w:val="910D28" w:themeColor="accent1"/>
          <w:szCs w:val="32"/>
          <w:shd w:val="clear" w:color="auto" w:fill="FFFFFF"/>
        </w:rPr>
      </w:pPr>
      <w:r w:rsidRPr="00F1638D">
        <w:rPr>
          <w:rFonts w:asciiTheme="majorHAnsi" w:eastAsiaTheme="majorEastAsia" w:hAnsiTheme="majorHAnsi" w:cstheme="majorBidi"/>
          <w:b/>
          <w:color w:val="910D28" w:themeColor="accent1"/>
          <w:szCs w:val="32"/>
          <w:shd w:val="clear" w:color="auto" w:fill="FFFFFF"/>
        </w:rPr>
        <w:t xml:space="preserve">Decide in advance what you want to know. </w:t>
      </w:r>
    </w:p>
    <w:tbl>
      <w:tblPr>
        <w:tblStyle w:val="TableGrid"/>
        <w:tblW w:w="9360"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1872"/>
        <w:gridCol w:w="3744"/>
        <w:gridCol w:w="3744"/>
      </w:tblGrid>
      <w:tr w:rsidR="0036040A" w14:paraId="09D1A7F9" w14:textId="77777777" w:rsidTr="00141A0C">
        <w:trPr>
          <w:cantSplit/>
          <w:tblHeader/>
        </w:trPr>
        <w:tc>
          <w:tcPr>
            <w:tcW w:w="1872" w:type="dxa"/>
            <w:shd w:val="clear" w:color="auto" w:fill="3E5C61" w:themeFill="accent2"/>
            <w:vAlign w:val="center"/>
          </w:tcPr>
          <w:p w14:paraId="0884A3C5" w14:textId="38E89C9E" w:rsidR="0036040A" w:rsidRPr="0053328A" w:rsidRDefault="000C24BB" w:rsidP="005A7B85">
            <w:pPr>
              <w:pStyle w:val="TableColumnHeaders"/>
            </w:pPr>
            <w:r>
              <w:t>Interview</w:t>
            </w:r>
          </w:p>
        </w:tc>
        <w:tc>
          <w:tcPr>
            <w:tcW w:w="3744" w:type="dxa"/>
            <w:shd w:val="clear" w:color="auto" w:fill="3E5C61" w:themeFill="accent2"/>
            <w:vAlign w:val="center"/>
          </w:tcPr>
          <w:p w14:paraId="638B7A01" w14:textId="795A82EC" w:rsidR="0036040A" w:rsidRPr="0053328A" w:rsidRDefault="000C24BB" w:rsidP="005A7B85">
            <w:pPr>
              <w:pStyle w:val="TableColumnHeaders"/>
            </w:pPr>
            <w:r>
              <w:t xml:space="preserve">Main Idea </w:t>
            </w:r>
            <w:r w:rsidR="002C5E57">
              <w:t>Question</w:t>
            </w:r>
            <w:r w:rsidR="005A7B85">
              <w:t>s</w:t>
            </w:r>
            <w:r w:rsidR="002C5E57">
              <w:t xml:space="preserve"> </w:t>
            </w:r>
            <w:r>
              <w:t>(What the Interviewer Wanted to Know)</w:t>
            </w:r>
          </w:p>
        </w:tc>
        <w:tc>
          <w:tcPr>
            <w:tcW w:w="3744" w:type="dxa"/>
            <w:shd w:val="clear" w:color="auto" w:fill="3E5C61" w:themeFill="accent2"/>
            <w:vAlign w:val="center"/>
          </w:tcPr>
          <w:p w14:paraId="78D47677" w14:textId="572CD113" w:rsidR="0036040A" w:rsidRPr="0053328A" w:rsidRDefault="009E4678" w:rsidP="005A7B85">
            <w:pPr>
              <w:pStyle w:val="TableColumnHeaders"/>
            </w:pPr>
            <w:r>
              <w:t>Notes</w:t>
            </w:r>
          </w:p>
        </w:tc>
      </w:tr>
      <w:tr w:rsidR="005B5A1E" w14:paraId="21915E58" w14:textId="77777777" w:rsidTr="00CB077D">
        <w:trPr>
          <w:trHeight w:val="2160"/>
        </w:trPr>
        <w:tc>
          <w:tcPr>
            <w:tcW w:w="1872" w:type="dxa"/>
          </w:tcPr>
          <w:p w14:paraId="4B25AEEF" w14:textId="4E2FBFA4" w:rsidR="005B5A1E" w:rsidRPr="00E70C7A" w:rsidRDefault="005B5A1E" w:rsidP="005B5A1E">
            <w:pPr>
              <w:pStyle w:val="RowHeader"/>
              <w:rPr>
                <w:sz w:val="22"/>
              </w:rPr>
            </w:pPr>
            <w:r w:rsidRPr="00E70C7A">
              <w:rPr>
                <w:sz w:val="22"/>
              </w:rPr>
              <w:t>LeBron James, “The Decision”</w:t>
            </w:r>
          </w:p>
        </w:tc>
        <w:tc>
          <w:tcPr>
            <w:tcW w:w="3744" w:type="dxa"/>
          </w:tcPr>
          <w:p w14:paraId="15B0A427" w14:textId="29BE0DDA" w:rsidR="003938C1" w:rsidRPr="00E70C7A" w:rsidRDefault="005B5A1E" w:rsidP="00B163F0">
            <w:pPr>
              <w:pStyle w:val="TableData"/>
              <w:spacing w:after="120"/>
              <w:rPr>
                <w:sz w:val="22"/>
              </w:rPr>
            </w:pPr>
            <w:r w:rsidRPr="00E70C7A">
              <w:rPr>
                <w:sz w:val="22"/>
              </w:rPr>
              <w:t>“The answer to the question everybody wants to know: LeBron, what's your decision?”</w:t>
            </w:r>
          </w:p>
          <w:p w14:paraId="0F1E9427" w14:textId="75A3AE06" w:rsidR="00706C8B" w:rsidRPr="00E70C7A" w:rsidRDefault="003938C1" w:rsidP="00B163F0">
            <w:pPr>
              <w:pStyle w:val="TableData"/>
              <w:spacing w:after="120"/>
              <w:rPr>
                <w:sz w:val="22"/>
              </w:rPr>
            </w:pPr>
            <w:r w:rsidRPr="00E70C7A">
              <w:rPr>
                <w:sz w:val="22"/>
              </w:rPr>
              <w:t>“Why?”</w:t>
            </w:r>
          </w:p>
          <w:p w14:paraId="7FB4D87E" w14:textId="189DE039" w:rsidR="00706C8B" w:rsidRPr="00E70C7A" w:rsidRDefault="00706C8B" w:rsidP="005B5A1E">
            <w:pPr>
              <w:pStyle w:val="TableData"/>
              <w:rPr>
                <w:sz w:val="22"/>
              </w:rPr>
            </w:pPr>
            <w:r w:rsidRPr="00E70C7A">
              <w:rPr>
                <w:sz w:val="22"/>
              </w:rPr>
              <w:t>“What was the major factor, the major reason, in your decision?”</w:t>
            </w:r>
          </w:p>
        </w:tc>
        <w:tc>
          <w:tcPr>
            <w:tcW w:w="3744" w:type="dxa"/>
          </w:tcPr>
          <w:p w14:paraId="57E25986" w14:textId="3A14F8BB" w:rsidR="005B5A1E" w:rsidRPr="00E70C7A" w:rsidRDefault="005B5A1E" w:rsidP="00706C8B">
            <w:pPr>
              <w:pStyle w:val="TableData"/>
              <w:rPr>
                <w:sz w:val="22"/>
              </w:rPr>
            </w:pPr>
            <w:r w:rsidRPr="00E70C7A">
              <w:rPr>
                <w:sz w:val="22"/>
              </w:rPr>
              <w:t xml:space="preserve">The interviewer’s questions centered </w:t>
            </w:r>
            <w:r w:rsidR="00366400" w:rsidRPr="00E70C7A">
              <w:rPr>
                <w:sz w:val="22"/>
              </w:rPr>
              <w:t>on</w:t>
            </w:r>
            <w:r w:rsidRPr="00E70C7A">
              <w:rPr>
                <w:sz w:val="22"/>
              </w:rPr>
              <w:t xml:space="preserve"> the eventual reveal of what team James chose. The interviewer wanted to know what the process was like, how he came to his decision, and how he felt moving forward.</w:t>
            </w:r>
          </w:p>
        </w:tc>
      </w:tr>
      <w:tr w:rsidR="006B4CC2" w14:paraId="6A241F61" w14:textId="77777777" w:rsidTr="00CB077D">
        <w:trPr>
          <w:trHeight w:val="2304"/>
        </w:trPr>
        <w:tc>
          <w:tcPr>
            <w:tcW w:w="1872" w:type="dxa"/>
          </w:tcPr>
          <w:p w14:paraId="60DD28B0" w14:textId="409638A9" w:rsidR="006B4CC2" w:rsidRPr="006B4CC2" w:rsidRDefault="006B4CC2" w:rsidP="006B4CC2">
            <w:pPr>
              <w:pStyle w:val="RowHeader"/>
              <w:rPr>
                <w:rFonts w:cstheme="minorHAnsi"/>
              </w:rPr>
            </w:pPr>
          </w:p>
        </w:tc>
        <w:tc>
          <w:tcPr>
            <w:tcW w:w="3744" w:type="dxa"/>
          </w:tcPr>
          <w:p w14:paraId="1F6ED629" w14:textId="77777777" w:rsidR="006B4CC2" w:rsidRDefault="006B4CC2" w:rsidP="006B4CC2">
            <w:pPr>
              <w:pStyle w:val="TableData"/>
            </w:pPr>
          </w:p>
        </w:tc>
        <w:tc>
          <w:tcPr>
            <w:tcW w:w="3744" w:type="dxa"/>
          </w:tcPr>
          <w:p w14:paraId="7A1A9DC9" w14:textId="77777777" w:rsidR="006B4CC2" w:rsidRDefault="006B4CC2" w:rsidP="006B4CC2">
            <w:pPr>
              <w:pStyle w:val="TableData"/>
            </w:pPr>
          </w:p>
        </w:tc>
      </w:tr>
      <w:tr w:rsidR="0036040A" w14:paraId="44D11EE5" w14:textId="77777777" w:rsidTr="00CB077D">
        <w:trPr>
          <w:trHeight w:val="2304"/>
        </w:trPr>
        <w:tc>
          <w:tcPr>
            <w:tcW w:w="1872" w:type="dxa"/>
          </w:tcPr>
          <w:p w14:paraId="06D4B3B8" w14:textId="3585784F" w:rsidR="0036040A" w:rsidRDefault="0036040A" w:rsidP="006B4CC2">
            <w:pPr>
              <w:pStyle w:val="RowHeader"/>
            </w:pPr>
          </w:p>
        </w:tc>
        <w:tc>
          <w:tcPr>
            <w:tcW w:w="3744" w:type="dxa"/>
          </w:tcPr>
          <w:p w14:paraId="28FF4767" w14:textId="77777777" w:rsidR="0036040A" w:rsidRDefault="0036040A" w:rsidP="006B4CC2">
            <w:pPr>
              <w:pStyle w:val="TableData"/>
            </w:pPr>
          </w:p>
        </w:tc>
        <w:tc>
          <w:tcPr>
            <w:tcW w:w="3744" w:type="dxa"/>
          </w:tcPr>
          <w:p w14:paraId="6462FEAD" w14:textId="77777777" w:rsidR="0036040A" w:rsidRDefault="0036040A" w:rsidP="006B4CC2">
            <w:pPr>
              <w:pStyle w:val="TableData"/>
            </w:pPr>
          </w:p>
        </w:tc>
      </w:tr>
      <w:tr w:rsidR="00D1059C" w14:paraId="368504E2" w14:textId="77777777" w:rsidTr="00CB077D">
        <w:trPr>
          <w:trHeight w:val="2304"/>
        </w:trPr>
        <w:tc>
          <w:tcPr>
            <w:tcW w:w="1872" w:type="dxa"/>
          </w:tcPr>
          <w:p w14:paraId="48DE2BAD" w14:textId="77777777" w:rsidR="00D1059C" w:rsidRDefault="00D1059C" w:rsidP="006B4CC2">
            <w:pPr>
              <w:pStyle w:val="RowHeader"/>
            </w:pPr>
          </w:p>
        </w:tc>
        <w:tc>
          <w:tcPr>
            <w:tcW w:w="3744" w:type="dxa"/>
          </w:tcPr>
          <w:p w14:paraId="0E3E7593" w14:textId="77777777" w:rsidR="00D1059C" w:rsidRDefault="00D1059C" w:rsidP="006B4CC2">
            <w:pPr>
              <w:pStyle w:val="TableData"/>
            </w:pPr>
          </w:p>
        </w:tc>
        <w:tc>
          <w:tcPr>
            <w:tcW w:w="3744" w:type="dxa"/>
          </w:tcPr>
          <w:p w14:paraId="0D314732" w14:textId="77777777" w:rsidR="00D1059C" w:rsidRDefault="00D1059C" w:rsidP="006B4CC2">
            <w:pPr>
              <w:pStyle w:val="TableData"/>
            </w:pPr>
          </w:p>
        </w:tc>
      </w:tr>
    </w:tbl>
    <w:p w14:paraId="531CD247" w14:textId="39A8DE57" w:rsidR="00682B7A" w:rsidRDefault="00584B24" w:rsidP="00682B7A">
      <w:pPr>
        <w:pStyle w:val="Heading1"/>
      </w:pPr>
      <w:r>
        <w:lastRenderedPageBreak/>
        <w:t>Ask open-ended</w:t>
      </w:r>
      <w:r w:rsidR="00682B7A">
        <w:t xml:space="preserve"> questions </w:t>
      </w:r>
      <w:r w:rsidR="003D65E3">
        <w:t xml:space="preserve">and follow-up questions </w:t>
      </w:r>
      <w:r w:rsidR="00682B7A">
        <w:t xml:space="preserve">to get </w:t>
      </w:r>
      <w:r w:rsidR="003D65E3">
        <w:t>genuine, detailed responses</w:t>
      </w:r>
      <w:r w:rsidR="00682B7A">
        <w:t>.</w:t>
      </w:r>
      <w:r w:rsidR="003D65E3">
        <w:t xml:space="preserve"> </w:t>
      </w:r>
    </w:p>
    <w:p w14:paraId="71965FFB" w14:textId="63527A64" w:rsidR="0036040A" w:rsidRPr="00E70C7A" w:rsidRDefault="00C36629" w:rsidP="00F72D02">
      <w:pPr>
        <w:rPr>
          <w:sz w:val="22"/>
        </w:rPr>
      </w:pPr>
      <w:r w:rsidRPr="00E70C7A">
        <w:rPr>
          <w:sz w:val="22"/>
        </w:rPr>
        <w:t xml:space="preserve">Most </w:t>
      </w:r>
      <w:r w:rsidR="00977726" w:rsidRPr="00E70C7A">
        <w:rPr>
          <w:sz w:val="22"/>
        </w:rPr>
        <w:t xml:space="preserve">of your </w:t>
      </w:r>
      <w:r w:rsidRPr="00E70C7A">
        <w:rPr>
          <w:sz w:val="22"/>
        </w:rPr>
        <w:t xml:space="preserve">questions should be phrased in an open-ended way. </w:t>
      </w:r>
      <w:r w:rsidR="00F752E4" w:rsidRPr="00E70C7A">
        <w:rPr>
          <w:sz w:val="22"/>
        </w:rPr>
        <w:t>If your question appears to offer or suggest a certain answer, y</w:t>
      </w:r>
      <w:r w:rsidR="007B51DD" w:rsidRPr="00E70C7A">
        <w:rPr>
          <w:sz w:val="22"/>
        </w:rPr>
        <w:t xml:space="preserve">ou might </w:t>
      </w:r>
      <w:r w:rsidRPr="00E70C7A">
        <w:rPr>
          <w:sz w:val="22"/>
        </w:rPr>
        <w:t xml:space="preserve">affect your interviewee’s response—this is called a “leading question” and should be avoided. </w:t>
      </w:r>
      <w:r w:rsidR="00F8417A" w:rsidRPr="00E70C7A">
        <w:rPr>
          <w:sz w:val="22"/>
        </w:rPr>
        <w:t>Be</w:t>
      </w:r>
      <w:r w:rsidRPr="00E70C7A">
        <w:rPr>
          <w:sz w:val="22"/>
        </w:rPr>
        <w:t xml:space="preserve"> sure to follow up with additional questions</w:t>
      </w:r>
      <w:r w:rsidR="00D106FF" w:rsidRPr="00E70C7A">
        <w:rPr>
          <w:sz w:val="22"/>
        </w:rPr>
        <w:t>.</w:t>
      </w:r>
      <w:r w:rsidR="005E45FD" w:rsidRPr="00E70C7A">
        <w:rPr>
          <w:sz w:val="22"/>
        </w:rPr>
        <w:t xml:space="preserve"> </w:t>
      </w:r>
    </w:p>
    <w:tbl>
      <w:tblPr>
        <w:tblStyle w:val="TableGrid"/>
        <w:tblW w:w="9360"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1872"/>
        <w:gridCol w:w="3744"/>
        <w:gridCol w:w="3744"/>
      </w:tblGrid>
      <w:tr w:rsidR="005E45FD" w:rsidRPr="0053328A" w14:paraId="5A000DB1" w14:textId="77777777" w:rsidTr="00141A0C">
        <w:trPr>
          <w:cantSplit/>
          <w:tblHeader/>
        </w:trPr>
        <w:tc>
          <w:tcPr>
            <w:tcW w:w="1872" w:type="dxa"/>
            <w:shd w:val="clear" w:color="auto" w:fill="3E5C61" w:themeFill="accent2"/>
            <w:vAlign w:val="center"/>
          </w:tcPr>
          <w:p w14:paraId="052881DD" w14:textId="77777777" w:rsidR="005E45FD" w:rsidRPr="0053328A" w:rsidRDefault="005E45FD" w:rsidP="007D588C">
            <w:pPr>
              <w:pStyle w:val="TableColumnHeaders"/>
            </w:pPr>
            <w:r>
              <w:t>Interview</w:t>
            </w:r>
          </w:p>
        </w:tc>
        <w:tc>
          <w:tcPr>
            <w:tcW w:w="3744" w:type="dxa"/>
            <w:shd w:val="clear" w:color="auto" w:fill="3E5C61" w:themeFill="accent2"/>
            <w:vAlign w:val="center"/>
          </w:tcPr>
          <w:p w14:paraId="7E0AA8D7" w14:textId="7CCF2877" w:rsidR="005E45FD" w:rsidRPr="0053328A" w:rsidRDefault="005E45FD" w:rsidP="007D588C">
            <w:pPr>
              <w:pStyle w:val="TableColumnHeaders"/>
            </w:pPr>
            <w:r>
              <w:t>Examples of Open-Ended Questions</w:t>
            </w:r>
          </w:p>
        </w:tc>
        <w:tc>
          <w:tcPr>
            <w:tcW w:w="3744" w:type="dxa"/>
            <w:shd w:val="clear" w:color="auto" w:fill="3E5C61" w:themeFill="accent2"/>
            <w:vAlign w:val="center"/>
          </w:tcPr>
          <w:p w14:paraId="79FC2ABA" w14:textId="77777777" w:rsidR="005E45FD" w:rsidRPr="0053328A" w:rsidRDefault="005E45FD" w:rsidP="007D588C">
            <w:pPr>
              <w:pStyle w:val="TableColumnHeaders"/>
            </w:pPr>
            <w:r>
              <w:t>Notes</w:t>
            </w:r>
          </w:p>
        </w:tc>
      </w:tr>
      <w:tr w:rsidR="00CC61FA" w14:paraId="53D24E18" w14:textId="77777777" w:rsidTr="00547B17">
        <w:trPr>
          <w:trHeight w:val="2232"/>
        </w:trPr>
        <w:tc>
          <w:tcPr>
            <w:tcW w:w="1872" w:type="dxa"/>
          </w:tcPr>
          <w:p w14:paraId="4F1A1D56" w14:textId="77777777" w:rsidR="00CC61FA" w:rsidRPr="00E70C7A" w:rsidRDefault="00CC61FA" w:rsidP="00CC61FA">
            <w:pPr>
              <w:pStyle w:val="RowHeader"/>
              <w:rPr>
                <w:sz w:val="22"/>
              </w:rPr>
            </w:pPr>
            <w:r w:rsidRPr="00E70C7A">
              <w:rPr>
                <w:sz w:val="22"/>
              </w:rPr>
              <w:t>LeBron James, “The Decision”</w:t>
            </w:r>
          </w:p>
        </w:tc>
        <w:tc>
          <w:tcPr>
            <w:tcW w:w="3744" w:type="dxa"/>
          </w:tcPr>
          <w:p w14:paraId="4C01E134" w14:textId="0CE1E7B8" w:rsidR="00CC61FA" w:rsidRPr="00E70C7A" w:rsidRDefault="00CC61FA" w:rsidP="00B163F0">
            <w:pPr>
              <w:pStyle w:val="TableData"/>
              <w:spacing w:after="120"/>
              <w:rPr>
                <w:sz w:val="22"/>
              </w:rPr>
            </w:pPr>
            <w:r w:rsidRPr="00E70C7A">
              <w:rPr>
                <w:sz w:val="22"/>
              </w:rPr>
              <w:t>“What have you thought about this process?”</w:t>
            </w:r>
          </w:p>
          <w:p w14:paraId="66B164A8" w14:textId="75647DD9" w:rsidR="00CC61FA" w:rsidRPr="00E70C7A" w:rsidRDefault="00CC61FA" w:rsidP="00CC61FA">
            <w:pPr>
              <w:pStyle w:val="TableData"/>
              <w:rPr>
                <w:sz w:val="22"/>
              </w:rPr>
            </w:pPr>
            <w:r w:rsidRPr="00E70C7A">
              <w:rPr>
                <w:sz w:val="22"/>
              </w:rPr>
              <w:t>“What did you expect from this process?”</w:t>
            </w:r>
          </w:p>
        </w:tc>
        <w:tc>
          <w:tcPr>
            <w:tcW w:w="3744" w:type="dxa"/>
          </w:tcPr>
          <w:p w14:paraId="3E6F6DC1" w14:textId="57C20DE2" w:rsidR="00CC61FA" w:rsidRPr="00E70C7A" w:rsidRDefault="00CC61FA" w:rsidP="00CC61FA">
            <w:pPr>
              <w:pStyle w:val="TableData"/>
              <w:rPr>
                <w:sz w:val="22"/>
              </w:rPr>
            </w:pPr>
            <w:r w:rsidRPr="00E70C7A">
              <w:rPr>
                <w:sz w:val="22"/>
              </w:rPr>
              <w:t>The interviewer didn’t ask</w:t>
            </w:r>
            <w:r w:rsidR="0062058E" w:rsidRPr="00E70C7A">
              <w:rPr>
                <w:sz w:val="22"/>
              </w:rPr>
              <w:t>,</w:t>
            </w:r>
            <w:r w:rsidRPr="00E70C7A">
              <w:rPr>
                <w:sz w:val="22"/>
              </w:rPr>
              <w:t xml:space="preserve"> “</w:t>
            </w:r>
            <w:r w:rsidR="00CA7AE6" w:rsidRPr="00E70C7A">
              <w:rPr>
                <w:sz w:val="22"/>
              </w:rPr>
              <w:t>D</w:t>
            </w:r>
            <w:r w:rsidRPr="00E70C7A">
              <w:rPr>
                <w:sz w:val="22"/>
              </w:rPr>
              <w:t>id you expect this process to be fun</w:t>
            </w:r>
            <w:r w:rsidR="00CA7AE6" w:rsidRPr="00E70C7A">
              <w:rPr>
                <w:sz w:val="22"/>
              </w:rPr>
              <w:t>?</w:t>
            </w:r>
            <w:r w:rsidRPr="00E70C7A">
              <w:rPr>
                <w:sz w:val="22"/>
              </w:rPr>
              <w:t>” or “</w:t>
            </w:r>
            <w:r w:rsidR="00CA7AE6" w:rsidRPr="00E70C7A">
              <w:rPr>
                <w:sz w:val="22"/>
              </w:rPr>
              <w:t>A</w:t>
            </w:r>
            <w:r w:rsidRPr="00E70C7A">
              <w:rPr>
                <w:sz w:val="22"/>
              </w:rPr>
              <w:t>re you feeling happy the process is over</w:t>
            </w:r>
            <w:r w:rsidR="00CA7AE6" w:rsidRPr="00E70C7A">
              <w:rPr>
                <w:sz w:val="22"/>
              </w:rPr>
              <w:t>?</w:t>
            </w:r>
            <w:r w:rsidRPr="00E70C7A">
              <w:rPr>
                <w:sz w:val="22"/>
              </w:rPr>
              <w:t xml:space="preserve">” </w:t>
            </w:r>
            <w:r w:rsidR="001F562A" w:rsidRPr="00E70C7A">
              <w:rPr>
                <w:sz w:val="22"/>
              </w:rPr>
              <w:t>Instead, their questions were open-ended and</w:t>
            </w:r>
            <w:r w:rsidRPr="00E70C7A">
              <w:rPr>
                <w:sz w:val="22"/>
              </w:rPr>
              <w:t xml:space="preserve"> didn’t encourage James to answer in a particular way.</w:t>
            </w:r>
          </w:p>
        </w:tc>
      </w:tr>
      <w:tr w:rsidR="005E45FD" w14:paraId="186AB5E1" w14:textId="77777777" w:rsidTr="00547B17">
        <w:trPr>
          <w:trHeight w:val="2376"/>
        </w:trPr>
        <w:tc>
          <w:tcPr>
            <w:tcW w:w="1872" w:type="dxa"/>
          </w:tcPr>
          <w:p w14:paraId="460AC569" w14:textId="77777777" w:rsidR="005E45FD" w:rsidRPr="006B4CC2" w:rsidRDefault="005E45FD" w:rsidP="007D588C">
            <w:pPr>
              <w:pStyle w:val="RowHeader"/>
              <w:rPr>
                <w:rFonts w:cstheme="minorHAnsi"/>
              </w:rPr>
            </w:pPr>
          </w:p>
        </w:tc>
        <w:tc>
          <w:tcPr>
            <w:tcW w:w="3744" w:type="dxa"/>
          </w:tcPr>
          <w:p w14:paraId="26442D0E" w14:textId="77777777" w:rsidR="005E45FD" w:rsidRDefault="005E45FD" w:rsidP="007D588C">
            <w:pPr>
              <w:pStyle w:val="TableData"/>
            </w:pPr>
          </w:p>
        </w:tc>
        <w:tc>
          <w:tcPr>
            <w:tcW w:w="3744" w:type="dxa"/>
          </w:tcPr>
          <w:p w14:paraId="208138BF" w14:textId="77777777" w:rsidR="005E45FD" w:rsidRDefault="005E45FD" w:rsidP="007D588C">
            <w:pPr>
              <w:pStyle w:val="TableData"/>
            </w:pPr>
          </w:p>
        </w:tc>
      </w:tr>
      <w:tr w:rsidR="005E45FD" w14:paraId="4AA4635E" w14:textId="77777777" w:rsidTr="00547B17">
        <w:trPr>
          <w:trHeight w:val="2376"/>
        </w:trPr>
        <w:tc>
          <w:tcPr>
            <w:tcW w:w="1872" w:type="dxa"/>
          </w:tcPr>
          <w:p w14:paraId="50D03EF2" w14:textId="77777777" w:rsidR="005E45FD" w:rsidRDefault="005E45FD" w:rsidP="007D588C">
            <w:pPr>
              <w:pStyle w:val="RowHeader"/>
            </w:pPr>
          </w:p>
        </w:tc>
        <w:tc>
          <w:tcPr>
            <w:tcW w:w="3744" w:type="dxa"/>
          </w:tcPr>
          <w:p w14:paraId="600BAB52" w14:textId="77777777" w:rsidR="005E45FD" w:rsidRDefault="005E45FD" w:rsidP="007D588C">
            <w:pPr>
              <w:pStyle w:val="TableData"/>
            </w:pPr>
          </w:p>
        </w:tc>
        <w:tc>
          <w:tcPr>
            <w:tcW w:w="3744" w:type="dxa"/>
          </w:tcPr>
          <w:p w14:paraId="3AB847B9" w14:textId="77777777" w:rsidR="005E45FD" w:rsidRDefault="005E45FD" w:rsidP="007D588C">
            <w:pPr>
              <w:pStyle w:val="TableData"/>
            </w:pPr>
          </w:p>
        </w:tc>
      </w:tr>
      <w:tr w:rsidR="005E45FD" w14:paraId="7077A5B1" w14:textId="77777777" w:rsidTr="00547B17">
        <w:trPr>
          <w:trHeight w:val="2376"/>
        </w:trPr>
        <w:tc>
          <w:tcPr>
            <w:tcW w:w="1872" w:type="dxa"/>
          </w:tcPr>
          <w:p w14:paraId="1F84DADA" w14:textId="77777777" w:rsidR="005E45FD" w:rsidRDefault="005E45FD" w:rsidP="007D588C">
            <w:pPr>
              <w:pStyle w:val="RowHeader"/>
            </w:pPr>
          </w:p>
        </w:tc>
        <w:tc>
          <w:tcPr>
            <w:tcW w:w="3744" w:type="dxa"/>
          </w:tcPr>
          <w:p w14:paraId="46CC9E88" w14:textId="77777777" w:rsidR="005E45FD" w:rsidRDefault="005E45FD" w:rsidP="007D588C">
            <w:pPr>
              <w:pStyle w:val="TableData"/>
            </w:pPr>
          </w:p>
        </w:tc>
        <w:tc>
          <w:tcPr>
            <w:tcW w:w="3744" w:type="dxa"/>
          </w:tcPr>
          <w:p w14:paraId="32EAB03B" w14:textId="77777777" w:rsidR="005E45FD" w:rsidRDefault="005E45FD" w:rsidP="007D588C">
            <w:pPr>
              <w:pStyle w:val="TableData"/>
            </w:pPr>
          </w:p>
        </w:tc>
      </w:tr>
    </w:tbl>
    <w:p w14:paraId="4C1D0FCD" w14:textId="3C38ACAF" w:rsidR="003365FB" w:rsidRDefault="009A0393" w:rsidP="00A46FB9">
      <w:pPr>
        <w:pStyle w:val="Heading2"/>
      </w:pPr>
      <w:r>
        <w:lastRenderedPageBreak/>
        <w:t xml:space="preserve">Consider </w:t>
      </w:r>
      <w:r w:rsidR="00D15E38">
        <w:t xml:space="preserve">using </w:t>
      </w:r>
      <w:r>
        <w:t>the</w:t>
      </w:r>
      <w:r w:rsidR="00D15E38">
        <w:t xml:space="preserve">se </w:t>
      </w:r>
      <w:r w:rsidR="003365FB">
        <w:t xml:space="preserve">helpful </w:t>
      </w:r>
      <w:r w:rsidR="00D15E38">
        <w:t xml:space="preserve">follow-up </w:t>
      </w:r>
      <w:r w:rsidR="003365FB">
        <w:t>questions for:</w:t>
      </w:r>
    </w:p>
    <w:p w14:paraId="11F4064A" w14:textId="2F1D4004" w:rsidR="003365FB" w:rsidRPr="00E70C7A" w:rsidRDefault="003365FB" w:rsidP="003365FB">
      <w:pPr>
        <w:pBdr>
          <w:top w:val="nil"/>
          <w:left w:val="nil"/>
          <w:bottom w:val="nil"/>
          <w:right w:val="nil"/>
          <w:between w:val="nil"/>
        </w:pBdr>
        <w:rPr>
          <w:rFonts w:ascii="Calibri" w:eastAsia="Calibri" w:hAnsi="Calibri" w:cs="Calibri"/>
          <w:color w:val="000000"/>
          <w:sz w:val="22"/>
        </w:rPr>
      </w:pPr>
      <w:r w:rsidRPr="00E70C7A">
        <w:rPr>
          <w:rFonts w:ascii="Calibri" w:eastAsia="Calibri" w:hAnsi="Calibri" w:cs="Calibri"/>
          <w:b/>
          <w:bCs/>
          <w:i/>
          <w:color w:val="3E5C61"/>
          <w:sz w:val="22"/>
        </w:rPr>
        <w:t>Extending an answer</w:t>
      </w:r>
      <w:r w:rsidRPr="00E70C7A">
        <w:rPr>
          <w:rFonts w:ascii="Calibri" w:eastAsia="Calibri" w:hAnsi="Calibri" w:cs="Calibri"/>
          <w:i/>
          <w:color w:val="3E5C61"/>
          <w:sz w:val="22"/>
        </w:rPr>
        <w:t>:</w:t>
      </w:r>
      <w:r w:rsidRPr="00E70C7A">
        <w:rPr>
          <w:color w:val="000000"/>
          <w:sz w:val="22"/>
        </w:rPr>
        <w:t xml:space="preserve"> </w:t>
      </w:r>
      <w:r w:rsidRPr="00E70C7A">
        <w:rPr>
          <w:rFonts w:ascii="Calibri" w:eastAsia="Calibri" w:hAnsi="Calibri" w:cs="Calibri"/>
          <w:color w:val="000000"/>
          <w:sz w:val="22"/>
        </w:rPr>
        <w:t xml:space="preserve">“How did you start </w:t>
      </w:r>
      <w:r w:rsidR="001053CE" w:rsidRPr="00E70C7A">
        <w:rPr>
          <w:rFonts w:ascii="Calibri" w:eastAsia="Calibri" w:hAnsi="Calibri" w:cs="Calibri"/>
          <w:color w:val="000000"/>
          <w:sz w:val="22"/>
        </w:rPr>
        <w:t>_____</w:t>
      </w:r>
      <w:r w:rsidRPr="00E70C7A">
        <w:rPr>
          <w:rFonts w:ascii="Calibri" w:eastAsia="Calibri" w:hAnsi="Calibri" w:cs="Calibri"/>
          <w:color w:val="000000"/>
          <w:sz w:val="22"/>
        </w:rPr>
        <w:t>?” “What led to that?” “What happened next?”</w:t>
      </w:r>
    </w:p>
    <w:p w14:paraId="59A1FE0D" w14:textId="2760FC8C" w:rsidR="003365FB" w:rsidRPr="00E70C7A" w:rsidRDefault="003365FB" w:rsidP="003365FB">
      <w:pPr>
        <w:pBdr>
          <w:top w:val="nil"/>
          <w:left w:val="nil"/>
          <w:bottom w:val="nil"/>
          <w:right w:val="nil"/>
          <w:between w:val="nil"/>
        </w:pBdr>
        <w:rPr>
          <w:rFonts w:ascii="Calibri" w:eastAsia="Calibri" w:hAnsi="Calibri" w:cs="Calibri"/>
          <w:color w:val="000000"/>
          <w:sz w:val="22"/>
        </w:rPr>
      </w:pPr>
      <w:r w:rsidRPr="00E70C7A">
        <w:rPr>
          <w:rFonts w:ascii="Calibri" w:eastAsia="Calibri" w:hAnsi="Calibri" w:cs="Calibri"/>
          <w:b/>
          <w:bCs/>
          <w:i/>
          <w:color w:val="3E5C61"/>
          <w:sz w:val="22"/>
        </w:rPr>
        <w:t>Filling in detail</w:t>
      </w:r>
      <w:r w:rsidRPr="00E70C7A">
        <w:rPr>
          <w:rFonts w:ascii="Calibri" w:eastAsia="Calibri" w:hAnsi="Calibri" w:cs="Calibri"/>
          <w:i/>
          <w:color w:val="3E5C61"/>
          <w:sz w:val="22"/>
        </w:rPr>
        <w:t>:</w:t>
      </w:r>
      <w:r w:rsidRPr="00E70C7A">
        <w:rPr>
          <w:color w:val="000000"/>
          <w:sz w:val="22"/>
        </w:rPr>
        <w:t xml:space="preserve"> </w:t>
      </w:r>
      <w:r w:rsidRPr="00E70C7A">
        <w:rPr>
          <w:rFonts w:ascii="Calibri" w:eastAsia="Calibri" w:hAnsi="Calibri" w:cs="Calibri"/>
          <w:color w:val="000000"/>
          <w:sz w:val="22"/>
        </w:rPr>
        <w:t>“Could you walk me through it?” “Tell me more about that.”</w:t>
      </w:r>
      <w:r w:rsidR="001053CE" w:rsidRPr="00E70C7A">
        <w:rPr>
          <w:rFonts w:ascii="Calibri" w:eastAsia="Calibri" w:hAnsi="Calibri" w:cs="Calibri"/>
          <w:color w:val="000000"/>
          <w:sz w:val="22"/>
        </w:rPr>
        <w:t xml:space="preserve"> </w:t>
      </w:r>
    </w:p>
    <w:p w14:paraId="369C2944" w14:textId="66E98664" w:rsidR="003365FB" w:rsidRPr="00E70C7A" w:rsidRDefault="003365FB" w:rsidP="003365FB">
      <w:pPr>
        <w:pBdr>
          <w:top w:val="nil"/>
          <w:left w:val="nil"/>
          <w:bottom w:val="nil"/>
          <w:right w:val="nil"/>
          <w:between w:val="nil"/>
        </w:pBdr>
        <w:rPr>
          <w:rFonts w:ascii="Calibri" w:eastAsia="Calibri" w:hAnsi="Calibri" w:cs="Calibri"/>
          <w:color w:val="000000"/>
          <w:sz w:val="22"/>
        </w:rPr>
      </w:pPr>
      <w:r w:rsidRPr="00E70C7A">
        <w:rPr>
          <w:rFonts w:ascii="Calibri" w:eastAsia="Calibri" w:hAnsi="Calibri" w:cs="Calibri"/>
          <w:b/>
          <w:bCs/>
          <w:i/>
          <w:color w:val="3E5C61"/>
          <w:sz w:val="22"/>
        </w:rPr>
        <w:t>Identifying actors</w:t>
      </w:r>
      <w:r w:rsidRPr="00E70C7A">
        <w:rPr>
          <w:rFonts w:ascii="Calibri" w:eastAsia="Calibri" w:hAnsi="Calibri" w:cs="Calibri"/>
          <w:i/>
          <w:color w:val="3E5C61"/>
          <w:sz w:val="22"/>
        </w:rPr>
        <w:t>:</w:t>
      </w:r>
      <w:r w:rsidRPr="00E70C7A">
        <w:rPr>
          <w:color w:val="000000"/>
          <w:sz w:val="22"/>
        </w:rPr>
        <w:t xml:space="preserve"> </w:t>
      </w:r>
      <w:r w:rsidRPr="00E70C7A">
        <w:rPr>
          <w:rFonts w:ascii="Calibri" w:eastAsia="Calibri" w:hAnsi="Calibri" w:cs="Calibri"/>
          <w:color w:val="000000"/>
          <w:sz w:val="22"/>
        </w:rPr>
        <w:t>“Was anyone else with you</w:t>
      </w:r>
      <w:r w:rsidR="00C46FFB" w:rsidRPr="00E70C7A">
        <w:rPr>
          <w:rFonts w:ascii="Calibri" w:eastAsia="Calibri" w:hAnsi="Calibri" w:cs="Calibri"/>
          <w:color w:val="000000"/>
          <w:sz w:val="22"/>
        </w:rPr>
        <w:t>?” “</w:t>
      </w:r>
      <w:r w:rsidR="004B68B5" w:rsidRPr="00E70C7A">
        <w:rPr>
          <w:rFonts w:ascii="Calibri" w:eastAsia="Calibri" w:hAnsi="Calibri" w:cs="Calibri"/>
          <w:color w:val="000000"/>
          <w:sz w:val="22"/>
        </w:rPr>
        <w:t>Who else was there, and w</w:t>
      </w:r>
      <w:r w:rsidRPr="00E70C7A">
        <w:rPr>
          <w:rFonts w:ascii="Calibri" w:eastAsia="Calibri" w:hAnsi="Calibri" w:cs="Calibri"/>
          <w:color w:val="000000"/>
          <w:sz w:val="22"/>
        </w:rPr>
        <w:t>hat did they do?”</w:t>
      </w:r>
    </w:p>
    <w:p w14:paraId="1FE7E8CD" w14:textId="42485696" w:rsidR="003365FB" w:rsidRPr="00E70C7A" w:rsidRDefault="003365FB" w:rsidP="00306285">
      <w:pPr>
        <w:pBdr>
          <w:top w:val="nil"/>
          <w:left w:val="nil"/>
          <w:bottom w:val="nil"/>
          <w:right w:val="nil"/>
          <w:between w:val="nil"/>
        </w:pBdr>
        <w:spacing w:line="240" w:lineRule="auto"/>
        <w:rPr>
          <w:rFonts w:ascii="Calibri" w:eastAsia="Calibri" w:hAnsi="Calibri" w:cs="Calibri"/>
          <w:color w:val="000000"/>
          <w:sz w:val="22"/>
        </w:rPr>
      </w:pPr>
      <w:r w:rsidRPr="00E70C7A">
        <w:rPr>
          <w:rFonts w:ascii="Calibri" w:eastAsia="Calibri" w:hAnsi="Calibri" w:cs="Calibri"/>
          <w:b/>
          <w:bCs/>
          <w:i/>
          <w:color w:val="3E5C61"/>
          <w:sz w:val="22"/>
        </w:rPr>
        <w:t>Explaining inner events</w:t>
      </w:r>
      <w:r w:rsidRPr="00E70C7A">
        <w:rPr>
          <w:rFonts w:ascii="Calibri" w:eastAsia="Calibri" w:hAnsi="Calibri" w:cs="Calibri"/>
          <w:i/>
          <w:color w:val="3E5C61"/>
          <w:sz w:val="22"/>
        </w:rPr>
        <w:t>:</w:t>
      </w:r>
      <w:r w:rsidRPr="00E70C7A">
        <w:rPr>
          <w:color w:val="000000"/>
          <w:sz w:val="22"/>
        </w:rPr>
        <w:t xml:space="preserve"> </w:t>
      </w:r>
      <w:r w:rsidRPr="00E70C7A">
        <w:rPr>
          <w:rFonts w:ascii="Calibri" w:eastAsia="Calibri" w:hAnsi="Calibri" w:cs="Calibri"/>
          <w:color w:val="000000"/>
          <w:sz w:val="22"/>
        </w:rPr>
        <w:t xml:space="preserve">“What did you see/hear/think/feel when that happened?” “Can you remember how you reacted?” “What were your feelings </w:t>
      </w:r>
      <w:r w:rsidR="00A7173B" w:rsidRPr="00E70C7A">
        <w:rPr>
          <w:rFonts w:ascii="Calibri" w:eastAsia="Calibri" w:hAnsi="Calibri" w:cs="Calibri"/>
          <w:color w:val="000000"/>
          <w:sz w:val="22"/>
        </w:rPr>
        <w:t xml:space="preserve">or thoughts </w:t>
      </w:r>
      <w:r w:rsidRPr="00E70C7A">
        <w:rPr>
          <w:rFonts w:ascii="Calibri" w:eastAsia="Calibri" w:hAnsi="Calibri" w:cs="Calibri"/>
          <w:color w:val="000000"/>
          <w:sz w:val="22"/>
        </w:rPr>
        <w:t xml:space="preserve">when </w:t>
      </w:r>
      <w:r w:rsidR="00A7173B" w:rsidRPr="00E70C7A">
        <w:rPr>
          <w:rFonts w:ascii="Calibri" w:eastAsia="Calibri" w:hAnsi="Calibri" w:cs="Calibri"/>
          <w:color w:val="000000"/>
          <w:sz w:val="22"/>
        </w:rPr>
        <w:t>_____</w:t>
      </w:r>
      <w:r w:rsidRPr="00E70C7A">
        <w:rPr>
          <w:rFonts w:ascii="Calibri" w:eastAsia="Calibri" w:hAnsi="Calibri" w:cs="Calibri"/>
          <w:color w:val="000000"/>
          <w:sz w:val="22"/>
        </w:rPr>
        <w:t xml:space="preserve"> said that?”</w:t>
      </w:r>
    </w:p>
    <w:p w14:paraId="1EDAC4CF" w14:textId="00502333" w:rsidR="003365FB" w:rsidRPr="00E70C7A" w:rsidRDefault="003365FB" w:rsidP="002107F4">
      <w:pPr>
        <w:pBdr>
          <w:top w:val="nil"/>
          <w:left w:val="nil"/>
          <w:bottom w:val="nil"/>
          <w:right w:val="nil"/>
          <w:between w:val="nil"/>
        </w:pBdr>
        <w:spacing w:after="200" w:line="240" w:lineRule="auto"/>
        <w:rPr>
          <w:rFonts w:ascii="Calibri" w:eastAsia="Calibri" w:hAnsi="Calibri" w:cs="Calibri"/>
          <w:color w:val="000000"/>
          <w:sz w:val="22"/>
        </w:rPr>
      </w:pPr>
      <w:r w:rsidRPr="00E70C7A">
        <w:rPr>
          <w:rFonts w:ascii="Calibri" w:eastAsia="Calibri" w:hAnsi="Calibri" w:cs="Calibri"/>
          <w:b/>
          <w:bCs/>
          <w:i/>
          <w:color w:val="3E5C61"/>
          <w:sz w:val="22"/>
        </w:rPr>
        <w:t>Making nonverbal expressions verbal</w:t>
      </w:r>
      <w:r w:rsidRPr="00E70C7A">
        <w:rPr>
          <w:rFonts w:ascii="Calibri" w:eastAsia="Calibri" w:hAnsi="Calibri" w:cs="Calibri"/>
          <w:i/>
          <w:color w:val="3E5C61"/>
          <w:sz w:val="22"/>
        </w:rPr>
        <w:t>:</w:t>
      </w:r>
      <w:r w:rsidRPr="00E70C7A">
        <w:rPr>
          <w:color w:val="000000"/>
          <w:sz w:val="22"/>
        </w:rPr>
        <w:t xml:space="preserve"> </w:t>
      </w:r>
      <w:r w:rsidRPr="00E70C7A">
        <w:rPr>
          <w:rFonts w:ascii="Calibri" w:eastAsia="Calibri" w:hAnsi="Calibri" w:cs="Calibri"/>
          <w:color w:val="000000"/>
          <w:sz w:val="22"/>
        </w:rPr>
        <w:t xml:space="preserve">If your interviewee shrugs or grimaces, you usually </w:t>
      </w:r>
      <w:r w:rsidR="00C61041" w:rsidRPr="00E70C7A">
        <w:rPr>
          <w:rFonts w:ascii="Calibri" w:eastAsia="Calibri" w:hAnsi="Calibri" w:cs="Calibri"/>
          <w:color w:val="000000"/>
          <w:sz w:val="22"/>
        </w:rPr>
        <w:t xml:space="preserve">can’t </w:t>
      </w:r>
      <w:r w:rsidRPr="00E70C7A">
        <w:rPr>
          <w:rFonts w:ascii="Calibri" w:eastAsia="Calibri" w:hAnsi="Calibri" w:cs="Calibri"/>
          <w:color w:val="000000"/>
          <w:sz w:val="22"/>
        </w:rPr>
        <w:t xml:space="preserve">report that in your story. </w:t>
      </w:r>
      <w:r w:rsidR="00773FE9" w:rsidRPr="00E70C7A">
        <w:rPr>
          <w:rFonts w:ascii="Calibri" w:eastAsia="Calibri" w:hAnsi="Calibri" w:cs="Calibri"/>
          <w:color w:val="000000"/>
          <w:sz w:val="22"/>
        </w:rPr>
        <w:t xml:space="preserve">However, </w:t>
      </w:r>
      <w:r w:rsidRPr="00E70C7A">
        <w:rPr>
          <w:rFonts w:ascii="Calibri" w:eastAsia="Calibri" w:hAnsi="Calibri" w:cs="Calibri"/>
          <w:color w:val="000000"/>
          <w:sz w:val="22"/>
        </w:rPr>
        <w:t xml:space="preserve">you can draw </w:t>
      </w:r>
      <w:r w:rsidR="00C61041" w:rsidRPr="00E70C7A">
        <w:rPr>
          <w:rFonts w:ascii="Calibri" w:eastAsia="Calibri" w:hAnsi="Calibri" w:cs="Calibri"/>
          <w:color w:val="000000"/>
          <w:sz w:val="22"/>
        </w:rPr>
        <w:t>them</w:t>
      </w:r>
      <w:r w:rsidRPr="00E70C7A">
        <w:rPr>
          <w:rFonts w:ascii="Calibri" w:eastAsia="Calibri" w:hAnsi="Calibri" w:cs="Calibri"/>
          <w:color w:val="000000"/>
          <w:sz w:val="22"/>
        </w:rPr>
        <w:t xml:space="preserve"> out. You can nod and say, “So, </w:t>
      </w:r>
      <w:r w:rsidR="00C61041" w:rsidRPr="00E70C7A">
        <w:rPr>
          <w:rFonts w:ascii="Calibri" w:eastAsia="Calibri" w:hAnsi="Calibri" w:cs="Calibri"/>
          <w:color w:val="000000"/>
          <w:sz w:val="22"/>
        </w:rPr>
        <w:t>did you have</w:t>
      </w:r>
      <w:r w:rsidRPr="00E70C7A">
        <w:rPr>
          <w:rFonts w:ascii="Calibri" w:eastAsia="Calibri" w:hAnsi="Calibri" w:cs="Calibri"/>
          <w:color w:val="000000"/>
          <w:sz w:val="22"/>
        </w:rPr>
        <w:t xml:space="preserve"> </w:t>
      </w:r>
      <w:r w:rsidR="00753FD6" w:rsidRPr="00E70C7A">
        <w:rPr>
          <w:rFonts w:ascii="Calibri" w:eastAsia="Calibri" w:hAnsi="Calibri" w:cs="Calibri"/>
          <w:color w:val="000000"/>
          <w:sz w:val="22"/>
        </w:rPr>
        <w:t>a certain reaction or any strong feelings</w:t>
      </w:r>
      <w:r w:rsidR="008C74A9" w:rsidRPr="00E70C7A">
        <w:rPr>
          <w:rFonts w:ascii="Calibri" w:eastAsia="Calibri" w:hAnsi="Calibri" w:cs="Calibri"/>
          <w:color w:val="000000"/>
          <w:sz w:val="22"/>
        </w:rPr>
        <w:t xml:space="preserve"> in response to that</w:t>
      </w:r>
      <w:r w:rsidRPr="00E70C7A">
        <w:rPr>
          <w:rFonts w:ascii="Calibri" w:eastAsia="Calibri" w:hAnsi="Calibri" w:cs="Calibri"/>
          <w:color w:val="000000"/>
          <w:sz w:val="22"/>
        </w:rPr>
        <w:t>?”</w:t>
      </w:r>
      <w:r w:rsidR="00435115" w:rsidRPr="00E70C7A">
        <w:rPr>
          <w:rFonts w:ascii="Calibri" w:eastAsia="Calibri" w:hAnsi="Calibri" w:cs="Calibri"/>
          <w:color w:val="000000"/>
          <w:sz w:val="22"/>
        </w:rPr>
        <w:t xml:space="preserve"> </w:t>
      </w:r>
      <w:r w:rsidR="00C61041" w:rsidRPr="00E70C7A">
        <w:rPr>
          <w:rFonts w:ascii="Calibri" w:eastAsia="Calibri" w:hAnsi="Calibri" w:cs="Calibri"/>
          <w:color w:val="000000"/>
          <w:sz w:val="22"/>
        </w:rPr>
        <w:t>“What were th</w:t>
      </w:r>
      <w:r w:rsidR="008C74A9" w:rsidRPr="00E70C7A">
        <w:rPr>
          <w:rFonts w:ascii="Calibri" w:eastAsia="Calibri" w:hAnsi="Calibri" w:cs="Calibri"/>
          <w:color w:val="000000"/>
          <w:sz w:val="22"/>
        </w:rPr>
        <w:t>ose</w:t>
      </w:r>
      <w:r w:rsidR="00C61041" w:rsidRPr="00E70C7A">
        <w:rPr>
          <w:rFonts w:ascii="Calibri" w:eastAsia="Calibri" w:hAnsi="Calibri" w:cs="Calibri"/>
          <w:color w:val="000000"/>
          <w:sz w:val="22"/>
        </w:rPr>
        <w:t xml:space="preserve"> feelings?”</w:t>
      </w:r>
      <w:r w:rsidR="00753FD6" w:rsidRPr="00E70C7A">
        <w:rPr>
          <w:rFonts w:ascii="Calibri" w:eastAsia="Calibri" w:hAnsi="Calibri" w:cs="Calibri"/>
          <w:color w:val="000000"/>
          <w:sz w:val="22"/>
        </w:rPr>
        <w:t xml:space="preserve"> </w:t>
      </w:r>
    </w:p>
    <w:tbl>
      <w:tblPr>
        <w:tblStyle w:val="TableGrid"/>
        <w:tblW w:w="9360"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1800"/>
        <w:gridCol w:w="3960"/>
        <w:gridCol w:w="3600"/>
      </w:tblGrid>
      <w:tr w:rsidR="00435115" w:rsidRPr="0053328A" w14:paraId="6E619871" w14:textId="77777777" w:rsidTr="00326B1F">
        <w:trPr>
          <w:cantSplit/>
          <w:tblHeader/>
        </w:trPr>
        <w:tc>
          <w:tcPr>
            <w:tcW w:w="1800" w:type="dxa"/>
            <w:shd w:val="clear" w:color="auto" w:fill="3E5C61" w:themeFill="accent2"/>
            <w:vAlign w:val="center"/>
          </w:tcPr>
          <w:p w14:paraId="77CEC5F0" w14:textId="77777777" w:rsidR="00435115" w:rsidRPr="0053328A" w:rsidRDefault="00435115" w:rsidP="007D588C">
            <w:pPr>
              <w:pStyle w:val="TableColumnHeaders"/>
            </w:pPr>
            <w:r>
              <w:t>Interview</w:t>
            </w:r>
          </w:p>
        </w:tc>
        <w:tc>
          <w:tcPr>
            <w:tcW w:w="3960" w:type="dxa"/>
            <w:shd w:val="clear" w:color="auto" w:fill="3E5C61" w:themeFill="accent2"/>
            <w:vAlign w:val="center"/>
          </w:tcPr>
          <w:p w14:paraId="528C8218" w14:textId="67EA0C7A" w:rsidR="00435115" w:rsidRPr="0053328A" w:rsidRDefault="00DA45E7" w:rsidP="007D588C">
            <w:pPr>
              <w:pStyle w:val="TableColumnHeaders"/>
            </w:pPr>
            <w:r>
              <w:t>Examples of Helpful Questions</w:t>
            </w:r>
          </w:p>
        </w:tc>
        <w:tc>
          <w:tcPr>
            <w:tcW w:w="3600" w:type="dxa"/>
            <w:shd w:val="clear" w:color="auto" w:fill="3E5C61" w:themeFill="accent2"/>
            <w:vAlign w:val="center"/>
          </w:tcPr>
          <w:p w14:paraId="7367C0EF" w14:textId="77777777" w:rsidR="00435115" w:rsidRPr="0053328A" w:rsidRDefault="00435115" w:rsidP="007D588C">
            <w:pPr>
              <w:pStyle w:val="TableColumnHeaders"/>
            </w:pPr>
            <w:r>
              <w:t>Notes</w:t>
            </w:r>
          </w:p>
        </w:tc>
      </w:tr>
      <w:tr w:rsidR="00435115" w14:paraId="56468E67" w14:textId="77777777" w:rsidTr="00406D05">
        <w:trPr>
          <w:trHeight w:val="1872"/>
        </w:trPr>
        <w:tc>
          <w:tcPr>
            <w:tcW w:w="1800" w:type="dxa"/>
          </w:tcPr>
          <w:p w14:paraId="31221E90" w14:textId="77777777" w:rsidR="00435115" w:rsidRPr="00E70C7A" w:rsidRDefault="00435115" w:rsidP="007D588C">
            <w:pPr>
              <w:pStyle w:val="RowHeader"/>
              <w:rPr>
                <w:sz w:val="22"/>
              </w:rPr>
            </w:pPr>
            <w:r w:rsidRPr="00E70C7A">
              <w:rPr>
                <w:sz w:val="22"/>
              </w:rPr>
              <w:t>LeBron James, “The Decision”</w:t>
            </w:r>
          </w:p>
        </w:tc>
        <w:tc>
          <w:tcPr>
            <w:tcW w:w="3960" w:type="dxa"/>
          </w:tcPr>
          <w:p w14:paraId="1BFFD5C0" w14:textId="67731D3B" w:rsidR="009B4C39" w:rsidRPr="00E70C7A" w:rsidRDefault="00C57944" w:rsidP="00B163F0">
            <w:pPr>
              <w:pStyle w:val="TableData"/>
              <w:spacing w:after="120"/>
              <w:rPr>
                <w:sz w:val="22"/>
              </w:rPr>
            </w:pPr>
            <w:r w:rsidRPr="00E70C7A">
              <w:rPr>
                <w:sz w:val="22"/>
              </w:rPr>
              <w:t>“You weren’t</w:t>
            </w:r>
            <w:r w:rsidR="00033D69" w:rsidRPr="00E70C7A">
              <w:rPr>
                <w:sz w:val="22"/>
              </w:rPr>
              <w:t xml:space="preserve"> able to be</w:t>
            </w:r>
            <w:r w:rsidRPr="00E70C7A">
              <w:rPr>
                <w:sz w:val="22"/>
              </w:rPr>
              <w:t xml:space="preserve"> recruited because you went straight to the NBA from high school, so have you enjoyed this recruiting process now?”</w:t>
            </w:r>
          </w:p>
          <w:p w14:paraId="50C7DA3D" w14:textId="69B6859B" w:rsidR="00435115" w:rsidRPr="00E70C7A" w:rsidRDefault="00C57944" w:rsidP="00C57944">
            <w:pPr>
              <w:pStyle w:val="TableData"/>
              <w:rPr>
                <w:sz w:val="22"/>
              </w:rPr>
            </w:pPr>
            <w:r w:rsidRPr="00E70C7A">
              <w:rPr>
                <w:sz w:val="22"/>
              </w:rPr>
              <w:t>“Who in this process</w:t>
            </w:r>
            <w:r w:rsidR="00500CDC" w:rsidRPr="00E70C7A">
              <w:rPr>
                <w:sz w:val="22"/>
              </w:rPr>
              <w:t>, LeBron,</w:t>
            </w:r>
            <w:r w:rsidRPr="00E70C7A">
              <w:rPr>
                <w:sz w:val="22"/>
              </w:rPr>
              <w:t xml:space="preserve"> have you taken advice from and who has had the biggest influence?”</w:t>
            </w:r>
          </w:p>
        </w:tc>
        <w:tc>
          <w:tcPr>
            <w:tcW w:w="3600" w:type="dxa"/>
          </w:tcPr>
          <w:p w14:paraId="1E0C3B2A" w14:textId="72E0E823" w:rsidR="00435115" w:rsidRPr="00E70C7A" w:rsidRDefault="00435115" w:rsidP="007D588C">
            <w:pPr>
              <w:pStyle w:val="TableData"/>
              <w:rPr>
                <w:sz w:val="22"/>
              </w:rPr>
            </w:pPr>
            <w:r w:rsidRPr="00E70C7A">
              <w:rPr>
                <w:sz w:val="22"/>
              </w:rPr>
              <w:t xml:space="preserve">The interviewer’s questions </w:t>
            </w:r>
            <w:r w:rsidR="001065EF" w:rsidRPr="00E70C7A">
              <w:rPr>
                <w:sz w:val="22"/>
              </w:rPr>
              <w:t xml:space="preserve">extend one of </w:t>
            </w:r>
            <w:r w:rsidR="00AF266F" w:rsidRPr="00E70C7A">
              <w:rPr>
                <w:sz w:val="22"/>
              </w:rPr>
              <w:t>James’s</w:t>
            </w:r>
            <w:r w:rsidR="001065EF" w:rsidRPr="00E70C7A">
              <w:rPr>
                <w:sz w:val="22"/>
              </w:rPr>
              <w:t xml:space="preserve"> earlier answers and identify other actors in his decision-making process. </w:t>
            </w:r>
          </w:p>
        </w:tc>
      </w:tr>
      <w:tr w:rsidR="00435115" w14:paraId="656C3602" w14:textId="77777777" w:rsidTr="00030186">
        <w:trPr>
          <w:trHeight w:val="1829"/>
        </w:trPr>
        <w:tc>
          <w:tcPr>
            <w:tcW w:w="1800" w:type="dxa"/>
          </w:tcPr>
          <w:p w14:paraId="6BD1DE95" w14:textId="77777777" w:rsidR="00435115" w:rsidRPr="006B4CC2" w:rsidRDefault="00435115" w:rsidP="007D588C">
            <w:pPr>
              <w:pStyle w:val="RowHeader"/>
              <w:rPr>
                <w:rFonts w:cstheme="minorHAnsi"/>
              </w:rPr>
            </w:pPr>
          </w:p>
        </w:tc>
        <w:tc>
          <w:tcPr>
            <w:tcW w:w="3960" w:type="dxa"/>
          </w:tcPr>
          <w:p w14:paraId="6D54D9CF" w14:textId="77777777" w:rsidR="00435115" w:rsidRDefault="00435115" w:rsidP="007D588C">
            <w:pPr>
              <w:pStyle w:val="TableData"/>
            </w:pPr>
          </w:p>
        </w:tc>
        <w:tc>
          <w:tcPr>
            <w:tcW w:w="3600" w:type="dxa"/>
          </w:tcPr>
          <w:p w14:paraId="6B34D8C0" w14:textId="77777777" w:rsidR="00435115" w:rsidRDefault="00435115" w:rsidP="007D588C">
            <w:pPr>
              <w:pStyle w:val="TableData"/>
            </w:pPr>
          </w:p>
        </w:tc>
      </w:tr>
      <w:tr w:rsidR="00435115" w14:paraId="57D331FD" w14:textId="77777777" w:rsidTr="00030186">
        <w:trPr>
          <w:trHeight w:val="1829"/>
        </w:trPr>
        <w:tc>
          <w:tcPr>
            <w:tcW w:w="1800" w:type="dxa"/>
          </w:tcPr>
          <w:p w14:paraId="0360D91A" w14:textId="77777777" w:rsidR="00435115" w:rsidRDefault="00435115" w:rsidP="007D588C">
            <w:pPr>
              <w:pStyle w:val="RowHeader"/>
            </w:pPr>
          </w:p>
        </w:tc>
        <w:tc>
          <w:tcPr>
            <w:tcW w:w="3960" w:type="dxa"/>
          </w:tcPr>
          <w:p w14:paraId="35755CEA" w14:textId="77777777" w:rsidR="00435115" w:rsidRDefault="00435115" w:rsidP="007D588C">
            <w:pPr>
              <w:pStyle w:val="TableData"/>
            </w:pPr>
          </w:p>
        </w:tc>
        <w:tc>
          <w:tcPr>
            <w:tcW w:w="3600" w:type="dxa"/>
          </w:tcPr>
          <w:p w14:paraId="727A45C3" w14:textId="77777777" w:rsidR="00435115" w:rsidRDefault="00435115" w:rsidP="007D588C">
            <w:pPr>
              <w:pStyle w:val="TableData"/>
            </w:pPr>
          </w:p>
        </w:tc>
      </w:tr>
      <w:tr w:rsidR="00435115" w14:paraId="5C68C1B6" w14:textId="77777777" w:rsidTr="00030186">
        <w:trPr>
          <w:trHeight w:val="1829"/>
        </w:trPr>
        <w:tc>
          <w:tcPr>
            <w:tcW w:w="1800" w:type="dxa"/>
          </w:tcPr>
          <w:p w14:paraId="5C31A354" w14:textId="77777777" w:rsidR="00435115" w:rsidRDefault="00435115" w:rsidP="007D588C">
            <w:pPr>
              <w:pStyle w:val="RowHeader"/>
            </w:pPr>
          </w:p>
        </w:tc>
        <w:tc>
          <w:tcPr>
            <w:tcW w:w="3960" w:type="dxa"/>
          </w:tcPr>
          <w:p w14:paraId="7753C759" w14:textId="77777777" w:rsidR="00435115" w:rsidRDefault="00435115" w:rsidP="007D588C">
            <w:pPr>
              <w:pStyle w:val="TableData"/>
            </w:pPr>
          </w:p>
        </w:tc>
        <w:tc>
          <w:tcPr>
            <w:tcW w:w="3600" w:type="dxa"/>
          </w:tcPr>
          <w:p w14:paraId="64138882" w14:textId="77777777" w:rsidR="00435115" w:rsidRDefault="00435115" w:rsidP="007D588C">
            <w:pPr>
              <w:pStyle w:val="TableData"/>
            </w:pPr>
          </w:p>
        </w:tc>
      </w:tr>
    </w:tbl>
    <w:p w14:paraId="4521CD1B" w14:textId="77777777" w:rsidR="0000344C" w:rsidRDefault="0000344C" w:rsidP="0000344C">
      <w:pPr>
        <w:pStyle w:val="Heading1"/>
      </w:pPr>
      <w:r>
        <w:lastRenderedPageBreak/>
        <w:t>Watch for “markers.”</w:t>
      </w:r>
    </w:p>
    <w:p w14:paraId="3CC66EAF" w14:textId="3EAD41B8" w:rsidR="0000344C" w:rsidRPr="00E70C7A" w:rsidRDefault="0000344C" w:rsidP="0000344C">
      <w:pPr>
        <w:pBdr>
          <w:top w:val="nil"/>
          <w:left w:val="nil"/>
          <w:bottom w:val="nil"/>
          <w:right w:val="nil"/>
          <w:between w:val="nil"/>
        </w:pBdr>
        <w:rPr>
          <w:rFonts w:ascii="Calibri" w:eastAsia="Calibri" w:hAnsi="Calibri" w:cs="Calibri"/>
          <w:color w:val="000000"/>
          <w:sz w:val="22"/>
        </w:rPr>
      </w:pPr>
      <w:r w:rsidRPr="00E70C7A">
        <w:rPr>
          <w:rFonts w:ascii="Calibri" w:eastAsia="Calibri" w:hAnsi="Calibri" w:cs="Calibri"/>
          <w:color w:val="000000"/>
          <w:sz w:val="22"/>
        </w:rPr>
        <w:t xml:space="preserve">Most interviewees are polite and </w:t>
      </w:r>
      <w:r w:rsidR="00D64873" w:rsidRPr="00E70C7A">
        <w:rPr>
          <w:rFonts w:ascii="Calibri" w:eastAsia="Calibri" w:hAnsi="Calibri" w:cs="Calibri"/>
          <w:color w:val="000000"/>
          <w:sz w:val="22"/>
        </w:rPr>
        <w:t xml:space="preserve">respectful of your time, so they </w:t>
      </w:r>
      <w:r w:rsidRPr="00E70C7A">
        <w:rPr>
          <w:rFonts w:ascii="Calibri" w:eastAsia="Calibri" w:hAnsi="Calibri" w:cs="Calibri"/>
          <w:color w:val="000000"/>
          <w:sz w:val="22"/>
        </w:rPr>
        <w:t xml:space="preserve">often won’t tell you everything they could say about a subject. </w:t>
      </w:r>
      <w:r w:rsidR="00D64873" w:rsidRPr="00E70C7A">
        <w:rPr>
          <w:rFonts w:ascii="Calibri" w:eastAsia="Calibri" w:hAnsi="Calibri" w:cs="Calibri"/>
          <w:color w:val="000000"/>
          <w:sz w:val="22"/>
        </w:rPr>
        <w:t>However,</w:t>
      </w:r>
      <w:r w:rsidRPr="00E70C7A">
        <w:rPr>
          <w:rFonts w:ascii="Calibri" w:eastAsia="Calibri" w:hAnsi="Calibri" w:cs="Calibri"/>
          <w:color w:val="000000"/>
          <w:sz w:val="22"/>
        </w:rPr>
        <w:t xml:space="preserve"> they </w:t>
      </w:r>
      <w:r w:rsidR="00D64873" w:rsidRPr="00E70C7A">
        <w:rPr>
          <w:rFonts w:ascii="Calibri" w:eastAsia="Calibri" w:hAnsi="Calibri" w:cs="Calibri"/>
          <w:color w:val="000000"/>
          <w:sz w:val="22"/>
        </w:rPr>
        <w:t xml:space="preserve">might </w:t>
      </w:r>
      <w:r w:rsidRPr="00E70C7A">
        <w:rPr>
          <w:rFonts w:ascii="Calibri" w:eastAsia="Calibri" w:hAnsi="Calibri" w:cs="Calibri"/>
          <w:color w:val="000000"/>
          <w:sz w:val="22"/>
        </w:rPr>
        <w:t xml:space="preserve">drop </w:t>
      </w:r>
      <w:r w:rsidR="00D73D6A" w:rsidRPr="00E70C7A">
        <w:rPr>
          <w:rFonts w:ascii="Calibri" w:eastAsia="Calibri" w:hAnsi="Calibri" w:cs="Calibri"/>
          <w:color w:val="000000"/>
          <w:sz w:val="22"/>
        </w:rPr>
        <w:t xml:space="preserve">some </w:t>
      </w:r>
      <w:r w:rsidRPr="00E70C7A">
        <w:rPr>
          <w:rFonts w:ascii="Calibri" w:eastAsia="Calibri" w:hAnsi="Calibri" w:cs="Calibri"/>
          <w:color w:val="000000"/>
          <w:sz w:val="22"/>
        </w:rPr>
        <w:t>“markers” or hints</w:t>
      </w:r>
      <w:r w:rsidR="00D64873" w:rsidRPr="00E70C7A">
        <w:rPr>
          <w:rFonts w:ascii="Calibri" w:eastAsia="Calibri" w:hAnsi="Calibri" w:cs="Calibri"/>
          <w:color w:val="000000"/>
          <w:sz w:val="22"/>
        </w:rPr>
        <w:t xml:space="preserve"> in their responses</w:t>
      </w:r>
      <w:r w:rsidRPr="00E70C7A">
        <w:rPr>
          <w:rFonts w:ascii="Calibri" w:eastAsia="Calibri" w:hAnsi="Calibri" w:cs="Calibri"/>
          <w:color w:val="000000"/>
          <w:sz w:val="22"/>
        </w:rPr>
        <w:t xml:space="preserve">. A </w:t>
      </w:r>
      <w:r w:rsidR="00D73D6A" w:rsidRPr="00E70C7A">
        <w:rPr>
          <w:rFonts w:ascii="Calibri" w:eastAsia="Calibri" w:hAnsi="Calibri" w:cs="Calibri"/>
          <w:color w:val="000000"/>
          <w:sz w:val="22"/>
        </w:rPr>
        <w:t>“</w:t>
      </w:r>
      <w:r w:rsidRPr="00E70C7A">
        <w:rPr>
          <w:rFonts w:ascii="Calibri" w:eastAsia="Calibri" w:hAnsi="Calibri" w:cs="Calibri"/>
          <w:color w:val="000000"/>
          <w:sz w:val="22"/>
        </w:rPr>
        <w:t>marker</w:t>
      </w:r>
      <w:r w:rsidR="00D73D6A" w:rsidRPr="00E70C7A">
        <w:rPr>
          <w:rFonts w:ascii="Calibri" w:eastAsia="Calibri" w:hAnsi="Calibri" w:cs="Calibri"/>
          <w:color w:val="000000"/>
          <w:sz w:val="22"/>
        </w:rPr>
        <w:t>”</w:t>
      </w:r>
      <w:r w:rsidRPr="00E70C7A">
        <w:rPr>
          <w:rFonts w:ascii="Calibri" w:eastAsia="Calibri" w:hAnsi="Calibri" w:cs="Calibri"/>
          <w:color w:val="000000"/>
          <w:sz w:val="22"/>
        </w:rPr>
        <w:t xml:space="preserve"> is a passing reference to an important event or feeling. </w:t>
      </w:r>
    </w:p>
    <w:tbl>
      <w:tblPr>
        <w:tblStyle w:val="TableGrid"/>
        <w:tblW w:w="9360"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1872"/>
        <w:gridCol w:w="3744"/>
        <w:gridCol w:w="3744"/>
      </w:tblGrid>
      <w:tr w:rsidR="00C552FE" w:rsidRPr="0053328A" w14:paraId="1236FBF2" w14:textId="77777777" w:rsidTr="00991AF9">
        <w:trPr>
          <w:cantSplit/>
          <w:tblHeader/>
        </w:trPr>
        <w:tc>
          <w:tcPr>
            <w:tcW w:w="1872" w:type="dxa"/>
            <w:shd w:val="clear" w:color="auto" w:fill="3E5C61" w:themeFill="accent2"/>
            <w:vAlign w:val="center"/>
          </w:tcPr>
          <w:p w14:paraId="238473D3" w14:textId="77777777" w:rsidR="00C552FE" w:rsidRPr="0053328A" w:rsidRDefault="00C552FE" w:rsidP="00991AF9">
            <w:pPr>
              <w:pStyle w:val="TableColumnHeaders"/>
            </w:pPr>
            <w:r>
              <w:t>Interview</w:t>
            </w:r>
          </w:p>
        </w:tc>
        <w:tc>
          <w:tcPr>
            <w:tcW w:w="3744" w:type="dxa"/>
            <w:shd w:val="clear" w:color="auto" w:fill="3E5C61" w:themeFill="accent2"/>
            <w:vAlign w:val="center"/>
          </w:tcPr>
          <w:p w14:paraId="2B5C3BF9" w14:textId="2424F23E" w:rsidR="00C552FE" w:rsidRPr="0053328A" w:rsidRDefault="005D55B2" w:rsidP="00991AF9">
            <w:pPr>
              <w:pStyle w:val="TableColumnHeaders"/>
            </w:pPr>
            <w:r>
              <w:t>Examples of “Markers”</w:t>
            </w:r>
          </w:p>
        </w:tc>
        <w:tc>
          <w:tcPr>
            <w:tcW w:w="3744" w:type="dxa"/>
            <w:shd w:val="clear" w:color="auto" w:fill="3E5C61" w:themeFill="accent2"/>
            <w:vAlign w:val="center"/>
          </w:tcPr>
          <w:p w14:paraId="0C757C87" w14:textId="77777777" w:rsidR="00C552FE" w:rsidRPr="0053328A" w:rsidRDefault="00C552FE" w:rsidP="00991AF9">
            <w:pPr>
              <w:pStyle w:val="TableColumnHeaders"/>
            </w:pPr>
            <w:r>
              <w:t>Notes</w:t>
            </w:r>
          </w:p>
        </w:tc>
      </w:tr>
      <w:tr w:rsidR="00C552FE" w14:paraId="52A73C0F" w14:textId="77777777" w:rsidTr="00494071">
        <w:trPr>
          <w:trHeight w:val="2304"/>
        </w:trPr>
        <w:tc>
          <w:tcPr>
            <w:tcW w:w="1872" w:type="dxa"/>
          </w:tcPr>
          <w:p w14:paraId="626C2F87" w14:textId="77777777" w:rsidR="00C552FE" w:rsidRPr="00E70C7A" w:rsidRDefault="00C552FE" w:rsidP="00991AF9">
            <w:pPr>
              <w:pStyle w:val="RowHeader"/>
              <w:rPr>
                <w:sz w:val="22"/>
              </w:rPr>
            </w:pPr>
            <w:r w:rsidRPr="00E70C7A">
              <w:rPr>
                <w:sz w:val="22"/>
              </w:rPr>
              <w:t>LeBron James, “The Decision”</w:t>
            </w:r>
          </w:p>
        </w:tc>
        <w:tc>
          <w:tcPr>
            <w:tcW w:w="3744" w:type="dxa"/>
          </w:tcPr>
          <w:p w14:paraId="2712545E" w14:textId="715E3359" w:rsidR="00C552FE" w:rsidRPr="00E70C7A" w:rsidRDefault="00F231AF" w:rsidP="00991AF9">
            <w:pPr>
              <w:pStyle w:val="TableData"/>
              <w:rPr>
                <w:sz w:val="22"/>
              </w:rPr>
            </w:pPr>
            <w:r w:rsidRPr="00E70C7A">
              <w:rPr>
                <w:sz w:val="22"/>
              </w:rPr>
              <w:t>“</w:t>
            </w:r>
            <w:proofErr w:type="gramStart"/>
            <w:r w:rsidRPr="00E70C7A">
              <w:rPr>
                <w:sz w:val="22"/>
              </w:rPr>
              <w:t>You</w:t>
            </w:r>
            <w:proofErr w:type="gramEnd"/>
            <w:r w:rsidRPr="00E70C7A">
              <w:rPr>
                <w:sz w:val="22"/>
              </w:rPr>
              <w:t xml:space="preserve"> told me that </w:t>
            </w:r>
            <w:r w:rsidR="00FC73DF" w:rsidRPr="00E70C7A">
              <w:rPr>
                <w:sz w:val="22"/>
              </w:rPr>
              <w:t>[</w:t>
            </w:r>
            <w:r w:rsidRPr="00E70C7A">
              <w:rPr>
                <w:sz w:val="22"/>
              </w:rPr>
              <w:t>your mother</w:t>
            </w:r>
            <w:r w:rsidR="00FC73DF" w:rsidRPr="00E70C7A">
              <w:rPr>
                <w:sz w:val="22"/>
              </w:rPr>
              <w:t>]</w:t>
            </w:r>
            <w:r w:rsidRPr="00E70C7A">
              <w:rPr>
                <w:sz w:val="22"/>
              </w:rPr>
              <w:t xml:space="preserve"> had a major influence when </w:t>
            </w:r>
            <w:r w:rsidR="00174E9A" w:rsidRPr="00E70C7A">
              <w:rPr>
                <w:sz w:val="22"/>
              </w:rPr>
              <w:t>you</w:t>
            </w:r>
            <w:r w:rsidRPr="00E70C7A">
              <w:rPr>
                <w:sz w:val="22"/>
              </w:rPr>
              <w:t xml:space="preserve"> called her this morning</w:t>
            </w:r>
            <w:r w:rsidR="007150A5" w:rsidRPr="00E70C7A">
              <w:rPr>
                <w:sz w:val="22"/>
              </w:rPr>
              <w:t xml:space="preserve"> </w:t>
            </w:r>
            <w:r w:rsidR="00927009" w:rsidRPr="00E70C7A">
              <w:rPr>
                <w:sz w:val="22"/>
              </w:rPr>
              <w:t>—</w:t>
            </w:r>
            <w:r w:rsidR="007150A5" w:rsidRPr="00E70C7A">
              <w:rPr>
                <w:sz w:val="22"/>
              </w:rPr>
              <w:t xml:space="preserve"> </w:t>
            </w:r>
            <w:r w:rsidR="00927009" w:rsidRPr="00E70C7A">
              <w:rPr>
                <w:sz w:val="22"/>
              </w:rPr>
              <w:t>y</w:t>
            </w:r>
            <w:r w:rsidRPr="00E70C7A">
              <w:rPr>
                <w:sz w:val="22"/>
              </w:rPr>
              <w:t>ou didn’t believe the reaction she would have would be the one that you got</w:t>
            </w:r>
            <w:r w:rsidR="00927009" w:rsidRPr="00E70C7A">
              <w:rPr>
                <w:sz w:val="22"/>
              </w:rPr>
              <w:t>.</w:t>
            </w:r>
            <w:r w:rsidRPr="00E70C7A">
              <w:rPr>
                <w:sz w:val="22"/>
              </w:rPr>
              <w:t xml:space="preserve"> </w:t>
            </w:r>
            <w:r w:rsidR="00927009" w:rsidRPr="00E70C7A">
              <w:rPr>
                <w:sz w:val="22"/>
              </w:rPr>
              <w:t>C</w:t>
            </w:r>
            <w:r w:rsidRPr="00E70C7A">
              <w:rPr>
                <w:sz w:val="22"/>
              </w:rPr>
              <w:t>an you share what she said to you this morning?”</w:t>
            </w:r>
            <w:r w:rsidR="00927009" w:rsidRPr="00E70C7A">
              <w:rPr>
                <w:sz w:val="22"/>
              </w:rPr>
              <w:t xml:space="preserve"> </w:t>
            </w:r>
          </w:p>
        </w:tc>
        <w:tc>
          <w:tcPr>
            <w:tcW w:w="3744" w:type="dxa"/>
          </w:tcPr>
          <w:p w14:paraId="053B653B" w14:textId="4E9C68BD" w:rsidR="00C552FE" w:rsidRPr="00E70C7A" w:rsidRDefault="00AF3D21" w:rsidP="00991AF9">
            <w:pPr>
              <w:pStyle w:val="TableData"/>
              <w:rPr>
                <w:sz w:val="22"/>
              </w:rPr>
            </w:pPr>
            <w:r w:rsidRPr="00E70C7A">
              <w:rPr>
                <w:sz w:val="22"/>
              </w:rPr>
              <w:t>The interviewer picked up on James’s mention of an earlier conversation with his mother and follow</w:t>
            </w:r>
            <w:r w:rsidR="006E744D" w:rsidRPr="00E70C7A">
              <w:rPr>
                <w:sz w:val="22"/>
              </w:rPr>
              <w:t>ed</w:t>
            </w:r>
            <w:r w:rsidRPr="00E70C7A">
              <w:rPr>
                <w:sz w:val="22"/>
              </w:rPr>
              <w:t xml:space="preserve"> up with another question.</w:t>
            </w:r>
          </w:p>
        </w:tc>
      </w:tr>
      <w:tr w:rsidR="00C552FE" w14:paraId="3ADB8588" w14:textId="77777777" w:rsidTr="00494071">
        <w:trPr>
          <w:trHeight w:val="2448"/>
        </w:trPr>
        <w:tc>
          <w:tcPr>
            <w:tcW w:w="1872" w:type="dxa"/>
          </w:tcPr>
          <w:p w14:paraId="74B7EB0E" w14:textId="77777777" w:rsidR="00C552FE" w:rsidRPr="006B4CC2" w:rsidRDefault="00C552FE" w:rsidP="00991AF9">
            <w:pPr>
              <w:pStyle w:val="RowHeader"/>
              <w:rPr>
                <w:rFonts w:cstheme="minorHAnsi"/>
              </w:rPr>
            </w:pPr>
          </w:p>
        </w:tc>
        <w:tc>
          <w:tcPr>
            <w:tcW w:w="3744" w:type="dxa"/>
          </w:tcPr>
          <w:p w14:paraId="4EC16F99" w14:textId="77777777" w:rsidR="00C552FE" w:rsidRDefault="00C552FE" w:rsidP="00991AF9">
            <w:pPr>
              <w:pStyle w:val="TableData"/>
            </w:pPr>
          </w:p>
        </w:tc>
        <w:tc>
          <w:tcPr>
            <w:tcW w:w="3744" w:type="dxa"/>
          </w:tcPr>
          <w:p w14:paraId="6DE30FA1" w14:textId="77777777" w:rsidR="00C552FE" w:rsidRDefault="00C552FE" w:rsidP="00991AF9">
            <w:pPr>
              <w:pStyle w:val="TableData"/>
            </w:pPr>
          </w:p>
        </w:tc>
      </w:tr>
      <w:tr w:rsidR="00C552FE" w14:paraId="0E7DB8DF" w14:textId="77777777" w:rsidTr="00494071">
        <w:trPr>
          <w:trHeight w:val="2448"/>
        </w:trPr>
        <w:tc>
          <w:tcPr>
            <w:tcW w:w="1872" w:type="dxa"/>
          </w:tcPr>
          <w:p w14:paraId="129E7791" w14:textId="77777777" w:rsidR="00C552FE" w:rsidRDefault="00C552FE" w:rsidP="00991AF9">
            <w:pPr>
              <w:pStyle w:val="RowHeader"/>
            </w:pPr>
          </w:p>
        </w:tc>
        <w:tc>
          <w:tcPr>
            <w:tcW w:w="3744" w:type="dxa"/>
          </w:tcPr>
          <w:p w14:paraId="645DC240" w14:textId="77777777" w:rsidR="00C552FE" w:rsidRDefault="00C552FE" w:rsidP="00991AF9">
            <w:pPr>
              <w:pStyle w:val="TableData"/>
            </w:pPr>
          </w:p>
        </w:tc>
        <w:tc>
          <w:tcPr>
            <w:tcW w:w="3744" w:type="dxa"/>
          </w:tcPr>
          <w:p w14:paraId="7BF20383" w14:textId="77777777" w:rsidR="00C552FE" w:rsidRDefault="00C552FE" w:rsidP="00991AF9">
            <w:pPr>
              <w:pStyle w:val="TableData"/>
            </w:pPr>
          </w:p>
        </w:tc>
      </w:tr>
      <w:tr w:rsidR="00C552FE" w14:paraId="17D2B0CD" w14:textId="77777777" w:rsidTr="00494071">
        <w:trPr>
          <w:trHeight w:val="2448"/>
        </w:trPr>
        <w:tc>
          <w:tcPr>
            <w:tcW w:w="1872" w:type="dxa"/>
          </w:tcPr>
          <w:p w14:paraId="0829F54B" w14:textId="77777777" w:rsidR="00C552FE" w:rsidRDefault="00C552FE" w:rsidP="00991AF9">
            <w:pPr>
              <w:pStyle w:val="RowHeader"/>
            </w:pPr>
          </w:p>
        </w:tc>
        <w:tc>
          <w:tcPr>
            <w:tcW w:w="3744" w:type="dxa"/>
          </w:tcPr>
          <w:p w14:paraId="4CB3ED27" w14:textId="77777777" w:rsidR="00C552FE" w:rsidRDefault="00C552FE" w:rsidP="00991AF9">
            <w:pPr>
              <w:pStyle w:val="TableData"/>
            </w:pPr>
          </w:p>
        </w:tc>
        <w:tc>
          <w:tcPr>
            <w:tcW w:w="3744" w:type="dxa"/>
          </w:tcPr>
          <w:p w14:paraId="2D9DBFC5" w14:textId="77777777" w:rsidR="00C552FE" w:rsidRDefault="00C552FE" w:rsidP="00991AF9">
            <w:pPr>
              <w:pStyle w:val="TableData"/>
            </w:pPr>
          </w:p>
        </w:tc>
      </w:tr>
    </w:tbl>
    <w:p w14:paraId="0A1F921C" w14:textId="0D42A768" w:rsidR="00F0599E" w:rsidRDefault="00CB37C6" w:rsidP="00F0599E">
      <w:pPr>
        <w:pStyle w:val="Heading1"/>
      </w:pPr>
      <w:r>
        <w:lastRenderedPageBreak/>
        <w:t>Be mindful of what</w:t>
      </w:r>
      <w:r w:rsidR="00F0599E">
        <w:t xml:space="preserve"> to avoid.</w:t>
      </w:r>
    </w:p>
    <w:p w14:paraId="7834E3E1" w14:textId="39D78CD2" w:rsidR="00F0599E" w:rsidRPr="00E70C7A" w:rsidRDefault="00F0599E" w:rsidP="00F0599E">
      <w:pPr>
        <w:pBdr>
          <w:top w:val="nil"/>
          <w:left w:val="nil"/>
          <w:bottom w:val="nil"/>
          <w:right w:val="nil"/>
          <w:between w:val="nil"/>
        </w:pBdr>
        <w:rPr>
          <w:rFonts w:ascii="Calibri" w:eastAsia="Calibri" w:hAnsi="Calibri" w:cs="Calibri"/>
          <w:color w:val="000000"/>
          <w:sz w:val="22"/>
        </w:rPr>
      </w:pPr>
      <w:r w:rsidRPr="00E70C7A">
        <w:rPr>
          <w:rFonts w:ascii="Calibri" w:eastAsia="Calibri" w:hAnsi="Calibri" w:cs="Calibri"/>
          <w:color w:val="000000"/>
          <w:sz w:val="22"/>
        </w:rPr>
        <w:t xml:space="preserve">If you </w:t>
      </w:r>
      <w:r w:rsidR="00281B5B" w:rsidRPr="00E70C7A">
        <w:rPr>
          <w:rFonts w:ascii="Calibri" w:eastAsia="Calibri" w:hAnsi="Calibri" w:cs="Calibri"/>
          <w:color w:val="000000"/>
          <w:sz w:val="22"/>
        </w:rPr>
        <w:t>upset</w:t>
      </w:r>
      <w:r w:rsidRPr="00E70C7A">
        <w:rPr>
          <w:rFonts w:ascii="Calibri" w:eastAsia="Calibri" w:hAnsi="Calibri" w:cs="Calibri"/>
          <w:color w:val="000000"/>
          <w:sz w:val="22"/>
        </w:rPr>
        <w:t xml:space="preserve"> an interviewee</w:t>
      </w:r>
      <w:r w:rsidR="00281B5B" w:rsidRPr="00E70C7A">
        <w:rPr>
          <w:rFonts w:ascii="Calibri" w:eastAsia="Calibri" w:hAnsi="Calibri" w:cs="Calibri"/>
          <w:color w:val="000000"/>
          <w:sz w:val="22"/>
        </w:rPr>
        <w:t xml:space="preserve"> or make them uncomfortable</w:t>
      </w:r>
      <w:r w:rsidRPr="00E70C7A">
        <w:rPr>
          <w:rFonts w:ascii="Calibri" w:eastAsia="Calibri" w:hAnsi="Calibri" w:cs="Calibri"/>
          <w:color w:val="000000"/>
          <w:sz w:val="22"/>
        </w:rPr>
        <w:t xml:space="preserve">, they won’t tell you as much as you want and may even stop the interview. Here are </w:t>
      </w:r>
      <w:r w:rsidR="00663632" w:rsidRPr="00E70C7A">
        <w:rPr>
          <w:rFonts w:ascii="Calibri" w:eastAsia="Calibri" w:hAnsi="Calibri" w:cs="Calibri"/>
          <w:color w:val="000000"/>
          <w:sz w:val="22"/>
        </w:rPr>
        <w:t xml:space="preserve">some </w:t>
      </w:r>
      <w:r w:rsidRPr="00E70C7A">
        <w:rPr>
          <w:rFonts w:ascii="Calibri" w:eastAsia="Calibri" w:hAnsi="Calibri" w:cs="Calibri"/>
          <w:color w:val="000000"/>
          <w:sz w:val="22"/>
        </w:rPr>
        <w:t>things to avoid:</w:t>
      </w:r>
      <w:r w:rsidR="00663632" w:rsidRPr="00E70C7A">
        <w:rPr>
          <w:rFonts w:ascii="Calibri" w:eastAsia="Calibri" w:hAnsi="Calibri" w:cs="Calibri"/>
          <w:color w:val="000000"/>
          <w:sz w:val="22"/>
        </w:rPr>
        <w:t xml:space="preserve"> </w:t>
      </w:r>
    </w:p>
    <w:p w14:paraId="20173948" w14:textId="1447B2E7" w:rsidR="00F0599E" w:rsidRPr="00E70C7A" w:rsidRDefault="00F0599E" w:rsidP="00F0599E">
      <w:pPr>
        <w:pBdr>
          <w:top w:val="nil"/>
          <w:left w:val="nil"/>
          <w:bottom w:val="nil"/>
          <w:right w:val="nil"/>
          <w:between w:val="nil"/>
        </w:pBdr>
        <w:rPr>
          <w:rFonts w:ascii="Calibri" w:eastAsia="Calibri" w:hAnsi="Calibri" w:cs="Calibri"/>
          <w:color w:val="000000"/>
          <w:sz w:val="22"/>
        </w:rPr>
      </w:pPr>
      <w:r w:rsidRPr="00E70C7A">
        <w:rPr>
          <w:rStyle w:val="Heading3Char"/>
          <w:b/>
          <w:bCs/>
          <w:sz w:val="22"/>
          <w:szCs w:val="22"/>
        </w:rPr>
        <w:t>NEVER talk over</w:t>
      </w:r>
      <w:r w:rsidR="00EE47C5" w:rsidRPr="00E70C7A">
        <w:rPr>
          <w:rStyle w:val="Heading3Char"/>
          <w:b/>
          <w:bCs/>
          <w:sz w:val="22"/>
          <w:szCs w:val="22"/>
        </w:rPr>
        <w:t xml:space="preserve"> your interviewee</w:t>
      </w:r>
      <w:r w:rsidRPr="00E70C7A">
        <w:rPr>
          <w:rStyle w:val="Heading3Char"/>
          <w:b/>
          <w:bCs/>
          <w:sz w:val="22"/>
          <w:szCs w:val="22"/>
        </w:rPr>
        <w:t>.</w:t>
      </w:r>
      <w:r w:rsidRPr="00E70C7A">
        <w:rPr>
          <w:color w:val="000000"/>
          <w:sz w:val="22"/>
        </w:rPr>
        <w:t xml:space="preserve"> </w:t>
      </w:r>
      <w:r w:rsidRPr="00E70C7A">
        <w:rPr>
          <w:rFonts w:ascii="Calibri" w:eastAsia="Calibri" w:hAnsi="Calibri" w:cs="Calibri"/>
          <w:color w:val="000000"/>
          <w:sz w:val="22"/>
        </w:rPr>
        <w:t xml:space="preserve">The first rule of interviewing is that the interviewee must be able to answer your questions. That won’t happen if </w:t>
      </w:r>
      <w:r w:rsidRPr="00E70C7A">
        <w:rPr>
          <w:rFonts w:ascii="Calibri" w:eastAsia="Calibri" w:hAnsi="Calibri" w:cs="Calibri"/>
          <w:i/>
          <w:color w:val="000000"/>
          <w:sz w:val="22"/>
        </w:rPr>
        <w:t>you</w:t>
      </w:r>
      <w:r w:rsidRPr="00E70C7A">
        <w:rPr>
          <w:rFonts w:ascii="Calibri" w:eastAsia="Calibri" w:hAnsi="Calibri" w:cs="Calibri"/>
          <w:color w:val="000000"/>
          <w:sz w:val="22"/>
        </w:rPr>
        <w:t xml:space="preserve"> talk, too. Don’t interrupt, if possible, and don’t give commentary on what they are saying.</w:t>
      </w:r>
      <w:r w:rsidR="00CE6418" w:rsidRPr="00E70C7A">
        <w:rPr>
          <w:rFonts w:ascii="Calibri" w:eastAsia="Calibri" w:hAnsi="Calibri" w:cs="Calibri"/>
          <w:color w:val="000000"/>
          <w:sz w:val="22"/>
        </w:rPr>
        <w:t xml:space="preserve"> </w:t>
      </w:r>
    </w:p>
    <w:p w14:paraId="35FD5374" w14:textId="6213459A" w:rsidR="00F0599E" w:rsidRPr="00E70C7A" w:rsidRDefault="003F30C0" w:rsidP="00F0599E">
      <w:pPr>
        <w:pBdr>
          <w:top w:val="nil"/>
          <w:left w:val="nil"/>
          <w:bottom w:val="nil"/>
          <w:right w:val="nil"/>
          <w:between w:val="nil"/>
        </w:pBdr>
        <w:rPr>
          <w:rFonts w:ascii="Calibri" w:eastAsia="Calibri" w:hAnsi="Calibri" w:cs="Calibri"/>
          <w:color w:val="000000"/>
          <w:sz w:val="22"/>
        </w:rPr>
      </w:pPr>
      <w:r w:rsidRPr="00E70C7A">
        <w:rPr>
          <w:rStyle w:val="Heading3Char"/>
          <w:b/>
          <w:bCs/>
          <w:sz w:val="22"/>
          <w:szCs w:val="22"/>
        </w:rPr>
        <w:t>Don’t</w:t>
      </w:r>
      <w:r w:rsidR="00F0599E" w:rsidRPr="00E70C7A">
        <w:rPr>
          <w:rStyle w:val="Heading3Char"/>
          <w:b/>
          <w:bCs/>
          <w:sz w:val="22"/>
          <w:szCs w:val="22"/>
        </w:rPr>
        <w:t xml:space="preserve"> talk about yourself too much.</w:t>
      </w:r>
      <w:r w:rsidR="00F0599E" w:rsidRPr="00E70C7A">
        <w:rPr>
          <w:color w:val="000000"/>
          <w:sz w:val="22"/>
        </w:rPr>
        <w:t xml:space="preserve"> </w:t>
      </w:r>
      <w:r w:rsidR="00F0599E" w:rsidRPr="00E70C7A">
        <w:rPr>
          <w:rFonts w:ascii="Calibri" w:eastAsia="Calibri" w:hAnsi="Calibri" w:cs="Calibri"/>
          <w:color w:val="000000"/>
          <w:sz w:val="22"/>
        </w:rPr>
        <w:t>Sometimes</w:t>
      </w:r>
      <w:r w:rsidR="00CE6418" w:rsidRPr="00E70C7A">
        <w:rPr>
          <w:rFonts w:ascii="Calibri" w:eastAsia="Calibri" w:hAnsi="Calibri" w:cs="Calibri"/>
          <w:color w:val="000000"/>
          <w:sz w:val="22"/>
        </w:rPr>
        <w:t>,</w:t>
      </w:r>
      <w:r w:rsidR="00F0599E" w:rsidRPr="00E70C7A">
        <w:rPr>
          <w:rFonts w:ascii="Calibri" w:eastAsia="Calibri" w:hAnsi="Calibri" w:cs="Calibri"/>
          <w:color w:val="000000"/>
          <w:sz w:val="22"/>
        </w:rPr>
        <w:t xml:space="preserve"> </w:t>
      </w:r>
      <w:r w:rsidR="00CE6418" w:rsidRPr="00E70C7A">
        <w:rPr>
          <w:rFonts w:ascii="Calibri" w:eastAsia="Calibri" w:hAnsi="Calibri" w:cs="Calibri"/>
          <w:color w:val="000000"/>
          <w:sz w:val="22"/>
        </w:rPr>
        <w:t>this</w:t>
      </w:r>
      <w:r w:rsidR="00F0599E" w:rsidRPr="00E70C7A">
        <w:rPr>
          <w:rFonts w:ascii="Calibri" w:eastAsia="Calibri" w:hAnsi="Calibri" w:cs="Calibri"/>
          <w:color w:val="000000"/>
          <w:sz w:val="22"/>
        </w:rPr>
        <w:t xml:space="preserve"> can’t be avoided because the person you’re talking with wants to know who you are. But</w:t>
      </w:r>
      <w:r w:rsidR="00CE6418" w:rsidRPr="00E70C7A">
        <w:rPr>
          <w:rFonts w:ascii="Calibri" w:eastAsia="Calibri" w:hAnsi="Calibri" w:cs="Calibri"/>
          <w:color w:val="000000"/>
          <w:sz w:val="22"/>
        </w:rPr>
        <w:t>,</w:t>
      </w:r>
      <w:r w:rsidR="00F0599E" w:rsidRPr="00E70C7A">
        <w:rPr>
          <w:rFonts w:ascii="Calibri" w:eastAsia="Calibri" w:hAnsi="Calibri" w:cs="Calibri"/>
          <w:color w:val="000000"/>
          <w:sz w:val="22"/>
        </w:rPr>
        <w:t xml:space="preserve"> in general, the better an interview is going, the less you </w:t>
      </w:r>
      <w:r w:rsidR="00CE6418" w:rsidRPr="00E70C7A">
        <w:rPr>
          <w:rFonts w:ascii="Calibri" w:eastAsia="Calibri" w:hAnsi="Calibri" w:cs="Calibri"/>
          <w:color w:val="000000"/>
          <w:sz w:val="22"/>
        </w:rPr>
        <w:t xml:space="preserve">should </w:t>
      </w:r>
      <w:r w:rsidR="00F0599E" w:rsidRPr="00E70C7A">
        <w:rPr>
          <w:rFonts w:ascii="Calibri" w:eastAsia="Calibri" w:hAnsi="Calibri" w:cs="Calibri"/>
          <w:color w:val="000000"/>
          <w:sz w:val="22"/>
        </w:rPr>
        <w:t xml:space="preserve">talk. It’s appropriate to tell them who you are and what you are doing and to answer </w:t>
      </w:r>
      <w:r w:rsidR="0078097A" w:rsidRPr="00E70C7A">
        <w:rPr>
          <w:rFonts w:ascii="Calibri" w:eastAsia="Calibri" w:hAnsi="Calibri" w:cs="Calibri"/>
          <w:color w:val="000000"/>
          <w:sz w:val="22"/>
        </w:rPr>
        <w:t xml:space="preserve">their </w:t>
      </w:r>
      <w:r w:rsidR="00F0599E" w:rsidRPr="00E70C7A">
        <w:rPr>
          <w:rFonts w:ascii="Calibri" w:eastAsia="Calibri" w:hAnsi="Calibri" w:cs="Calibri"/>
          <w:color w:val="000000"/>
          <w:sz w:val="22"/>
        </w:rPr>
        <w:t xml:space="preserve">questions </w:t>
      </w:r>
      <w:r w:rsidR="0078097A" w:rsidRPr="00E70C7A">
        <w:rPr>
          <w:rFonts w:ascii="Calibri" w:eastAsia="Calibri" w:hAnsi="Calibri" w:cs="Calibri"/>
          <w:color w:val="000000"/>
          <w:sz w:val="22"/>
        </w:rPr>
        <w:t>about</w:t>
      </w:r>
      <w:r w:rsidR="00F0599E" w:rsidRPr="00E70C7A">
        <w:rPr>
          <w:rFonts w:ascii="Calibri" w:eastAsia="Calibri" w:hAnsi="Calibri" w:cs="Calibri"/>
          <w:color w:val="000000"/>
          <w:sz w:val="22"/>
        </w:rPr>
        <w:t xml:space="preserve"> your project. </w:t>
      </w:r>
      <w:r w:rsidR="00CE6418" w:rsidRPr="00E70C7A">
        <w:rPr>
          <w:rFonts w:ascii="Calibri" w:eastAsia="Calibri" w:hAnsi="Calibri" w:cs="Calibri"/>
          <w:color w:val="000000"/>
          <w:sz w:val="22"/>
        </w:rPr>
        <w:t>Just r</w:t>
      </w:r>
      <w:r w:rsidR="00F0599E" w:rsidRPr="00E70C7A">
        <w:rPr>
          <w:rFonts w:ascii="Calibri" w:eastAsia="Calibri" w:hAnsi="Calibri" w:cs="Calibri"/>
          <w:color w:val="000000"/>
          <w:sz w:val="22"/>
        </w:rPr>
        <w:t>emember the interview is not about you.</w:t>
      </w:r>
      <w:r w:rsidR="00CE6418" w:rsidRPr="00E70C7A">
        <w:rPr>
          <w:rFonts w:ascii="Calibri" w:eastAsia="Calibri" w:hAnsi="Calibri" w:cs="Calibri"/>
          <w:color w:val="000000"/>
          <w:sz w:val="22"/>
        </w:rPr>
        <w:t xml:space="preserve"> </w:t>
      </w:r>
    </w:p>
    <w:p w14:paraId="527749E1" w14:textId="1336A3A8" w:rsidR="00F0599E" w:rsidRPr="00E70C7A" w:rsidRDefault="00F0599E" w:rsidP="00F0599E">
      <w:pPr>
        <w:pBdr>
          <w:top w:val="nil"/>
          <w:left w:val="nil"/>
          <w:bottom w:val="nil"/>
          <w:right w:val="nil"/>
          <w:between w:val="nil"/>
        </w:pBdr>
        <w:rPr>
          <w:rFonts w:ascii="Calibri" w:eastAsia="Calibri" w:hAnsi="Calibri" w:cs="Calibri"/>
          <w:color w:val="000000"/>
          <w:sz w:val="22"/>
        </w:rPr>
      </w:pPr>
      <w:r w:rsidRPr="00E70C7A">
        <w:rPr>
          <w:rStyle w:val="Heading3Char"/>
          <w:b/>
          <w:bCs/>
          <w:sz w:val="22"/>
          <w:szCs w:val="22"/>
        </w:rPr>
        <w:t>Try not to confuse your interviewee.</w:t>
      </w:r>
      <w:r w:rsidRPr="00E70C7A">
        <w:rPr>
          <w:color w:val="000000"/>
          <w:sz w:val="22"/>
        </w:rPr>
        <w:t xml:space="preserve"> </w:t>
      </w:r>
      <w:r w:rsidRPr="00E70C7A">
        <w:rPr>
          <w:rFonts w:ascii="Calibri" w:eastAsia="Calibri" w:hAnsi="Calibri" w:cs="Calibri"/>
          <w:color w:val="000000"/>
          <w:sz w:val="22"/>
        </w:rPr>
        <w:t>Write down the kinds of questions you want to ask and practice the interview with someone else</w:t>
      </w:r>
      <w:r w:rsidR="00F14A85" w:rsidRPr="00E70C7A">
        <w:rPr>
          <w:rFonts w:ascii="Calibri" w:eastAsia="Calibri" w:hAnsi="Calibri" w:cs="Calibri"/>
          <w:color w:val="000000"/>
          <w:sz w:val="22"/>
        </w:rPr>
        <w:t xml:space="preserve"> beforehand</w:t>
      </w:r>
      <w:r w:rsidRPr="00E70C7A">
        <w:rPr>
          <w:rFonts w:ascii="Calibri" w:eastAsia="Calibri" w:hAnsi="Calibri" w:cs="Calibri"/>
          <w:color w:val="000000"/>
          <w:sz w:val="22"/>
        </w:rPr>
        <w:t xml:space="preserve">. Throw out questions that are confusing.  Robert Weiss, a qualitative researcher, says </w:t>
      </w:r>
      <w:r w:rsidR="00C05DD8" w:rsidRPr="00E70C7A">
        <w:rPr>
          <w:rFonts w:ascii="Calibri" w:eastAsia="Calibri" w:hAnsi="Calibri" w:cs="Calibri"/>
          <w:color w:val="000000"/>
          <w:sz w:val="22"/>
        </w:rPr>
        <w:t>if you</w:t>
      </w:r>
      <w:r w:rsidRPr="00E70C7A">
        <w:rPr>
          <w:rFonts w:ascii="Calibri" w:eastAsia="Calibri" w:hAnsi="Calibri" w:cs="Calibri"/>
          <w:color w:val="000000"/>
          <w:sz w:val="22"/>
        </w:rPr>
        <w:t xml:space="preserve"> fluster an interviewee </w:t>
      </w:r>
      <w:r w:rsidR="00C05DD8" w:rsidRPr="00E70C7A">
        <w:rPr>
          <w:rFonts w:ascii="Calibri" w:eastAsia="Calibri" w:hAnsi="Calibri" w:cs="Calibri"/>
          <w:color w:val="000000"/>
          <w:sz w:val="22"/>
        </w:rPr>
        <w:t xml:space="preserve">more than </w:t>
      </w:r>
      <w:r w:rsidRPr="00E70C7A">
        <w:rPr>
          <w:rFonts w:ascii="Calibri" w:eastAsia="Calibri" w:hAnsi="Calibri" w:cs="Calibri"/>
          <w:color w:val="000000"/>
          <w:sz w:val="22"/>
        </w:rPr>
        <w:t>three times in an interview</w:t>
      </w:r>
      <w:r w:rsidR="00C05DD8" w:rsidRPr="00E70C7A">
        <w:rPr>
          <w:rFonts w:ascii="Calibri" w:eastAsia="Calibri" w:hAnsi="Calibri" w:cs="Calibri"/>
          <w:color w:val="000000"/>
          <w:sz w:val="22"/>
        </w:rPr>
        <w:t>,</w:t>
      </w:r>
      <w:r w:rsidRPr="00E70C7A">
        <w:rPr>
          <w:rFonts w:ascii="Calibri" w:eastAsia="Calibri" w:hAnsi="Calibri" w:cs="Calibri"/>
          <w:color w:val="000000"/>
          <w:sz w:val="22"/>
        </w:rPr>
        <w:t xml:space="preserve"> they</w:t>
      </w:r>
      <w:r w:rsidR="00F00652" w:rsidRPr="00E70C7A">
        <w:rPr>
          <w:rFonts w:ascii="Calibri" w:eastAsia="Calibri" w:hAnsi="Calibri" w:cs="Calibri"/>
          <w:color w:val="000000"/>
          <w:sz w:val="22"/>
        </w:rPr>
        <w:t xml:space="preserve">’ll </w:t>
      </w:r>
      <w:r w:rsidR="00C05DD8" w:rsidRPr="00E70C7A">
        <w:rPr>
          <w:rFonts w:ascii="Calibri" w:eastAsia="Calibri" w:hAnsi="Calibri" w:cs="Calibri"/>
          <w:color w:val="000000"/>
          <w:sz w:val="22"/>
        </w:rPr>
        <w:t xml:space="preserve">give up on you and </w:t>
      </w:r>
      <w:r w:rsidRPr="00E70C7A">
        <w:rPr>
          <w:rFonts w:ascii="Calibri" w:eastAsia="Calibri" w:hAnsi="Calibri" w:cs="Calibri"/>
          <w:color w:val="000000"/>
          <w:sz w:val="22"/>
        </w:rPr>
        <w:t xml:space="preserve">only give you brief answers to your questions. </w:t>
      </w:r>
    </w:p>
    <w:p w14:paraId="2A0B2C36" w14:textId="43DC8363" w:rsidR="00F341F0" w:rsidRPr="00443FCD" w:rsidRDefault="00F0599E" w:rsidP="00443FCD">
      <w:pPr>
        <w:pBdr>
          <w:top w:val="nil"/>
          <w:left w:val="nil"/>
          <w:bottom w:val="nil"/>
          <w:right w:val="nil"/>
          <w:between w:val="nil"/>
        </w:pBdr>
        <w:rPr>
          <w:rFonts w:ascii="Calibri" w:eastAsia="Calibri" w:hAnsi="Calibri" w:cs="Calibri"/>
          <w:color w:val="000000"/>
          <w:sz w:val="22"/>
        </w:rPr>
      </w:pPr>
      <w:r w:rsidRPr="00E70C7A">
        <w:rPr>
          <w:rStyle w:val="Heading3Char"/>
          <w:b/>
          <w:bCs/>
          <w:sz w:val="22"/>
          <w:szCs w:val="22"/>
        </w:rPr>
        <w:t>Don’t ask about illegal activity.</w:t>
      </w:r>
      <w:r w:rsidRPr="00E70C7A">
        <w:rPr>
          <w:color w:val="000000"/>
          <w:sz w:val="22"/>
        </w:rPr>
        <w:t xml:space="preserve"> </w:t>
      </w:r>
      <w:r w:rsidRPr="00E70C7A">
        <w:rPr>
          <w:rFonts w:ascii="Calibri" w:eastAsia="Calibri" w:hAnsi="Calibri" w:cs="Calibri"/>
          <w:color w:val="000000"/>
          <w:sz w:val="22"/>
        </w:rPr>
        <w:t xml:space="preserve">If it comes up in the interview, don’t follow up on it. If you are taking notes, don’t write it down. </w:t>
      </w:r>
      <w:r w:rsidR="00781F3F" w:rsidRPr="00E70C7A">
        <w:rPr>
          <w:rFonts w:ascii="Calibri" w:eastAsia="Calibri" w:hAnsi="Calibri" w:cs="Calibri"/>
          <w:color w:val="000000"/>
          <w:sz w:val="22"/>
        </w:rPr>
        <w:t>Although it’s unlikely, y</w:t>
      </w:r>
      <w:r w:rsidRPr="00E70C7A">
        <w:rPr>
          <w:rFonts w:ascii="Calibri" w:eastAsia="Calibri" w:hAnsi="Calibri" w:cs="Calibri"/>
          <w:color w:val="000000"/>
          <w:sz w:val="22"/>
        </w:rPr>
        <w:t>our notes,</w:t>
      </w:r>
      <w:r w:rsidR="00781F3F" w:rsidRPr="00E70C7A">
        <w:rPr>
          <w:rFonts w:ascii="Calibri" w:eastAsia="Calibri" w:hAnsi="Calibri" w:cs="Calibri"/>
          <w:color w:val="000000"/>
          <w:sz w:val="22"/>
        </w:rPr>
        <w:t xml:space="preserve"> recorded</w:t>
      </w:r>
      <w:r w:rsidRPr="00E70C7A">
        <w:rPr>
          <w:rFonts w:ascii="Calibri" w:eastAsia="Calibri" w:hAnsi="Calibri" w:cs="Calibri"/>
          <w:color w:val="000000"/>
          <w:sz w:val="22"/>
        </w:rPr>
        <w:t xml:space="preserve"> audio, and other information </w:t>
      </w:r>
      <w:r w:rsidR="00B0210A" w:rsidRPr="00E70C7A">
        <w:rPr>
          <w:rFonts w:ascii="Calibri" w:eastAsia="Calibri" w:hAnsi="Calibri" w:cs="Calibri"/>
          <w:color w:val="000000"/>
          <w:sz w:val="22"/>
        </w:rPr>
        <w:t>could</w:t>
      </w:r>
      <w:r w:rsidRPr="00E70C7A">
        <w:rPr>
          <w:rFonts w:ascii="Calibri" w:eastAsia="Calibri" w:hAnsi="Calibri" w:cs="Calibri"/>
          <w:color w:val="000000"/>
          <w:sz w:val="22"/>
        </w:rPr>
        <w:t xml:space="preserve"> be subpoenaed in a criminal case. </w:t>
      </w:r>
    </w:p>
    <w:p w14:paraId="3FDA4E93" w14:textId="0BCD908B" w:rsidR="00F0599E" w:rsidRDefault="0072447E" w:rsidP="00F0599E">
      <w:pPr>
        <w:pStyle w:val="Heading1"/>
      </w:pPr>
      <w:r>
        <w:t>Use best</w:t>
      </w:r>
      <w:r w:rsidR="00F0599E">
        <w:t xml:space="preserve"> practices.</w:t>
      </w:r>
    </w:p>
    <w:p w14:paraId="35054601" w14:textId="2A88DD31" w:rsidR="00F0599E" w:rsidRPr="00E70C7A" w:rsidRDefault="00F0599E" w:rsidP="00F0599E">
      <w:pPr>
        <w:pBdr>
          <w:top w:val="nil"/>
          <w:left w:val="nil"/>
          <w:bottom w:val="nil"/>
          <w:right w:val="nil"/>
          <w:between w:val="nil"/>
        </w:pBdr>
        <w:rPr>
          <w:rFonts w:ascii="Calibri" w:eastAsia="Calibri" w:hAnsi="Calibri" w:cs="Calibri"/>
          <w:color w:val="000000"/>
          <w:sz w:val="22"/>
        </w:rPr>
      </w:pPr>
      <w:r w:rsidRPr="00E70C7A">
        <w:rPr>
          <w:rStyle w:val="Heading3Char"/>
          <w:b/>
          <w:bCs/>
          <w:sz w:val="22"/>
          <w:szCs w:val="22"/>
        </w:rPr>
        <w:t>Begin with demographic information</w:t>
      </w:r>
      <w:r w:rsidR="00DB0AEF" w:rsidRPr="00E70C7A">
        <w:rPr>
          <w:rStyle w:val="Heading3Char"/>
          <w:b/>
          <w:bCs/>
          <w:sz w:val="22"/>
          <w:szCs w:val="22"/>
        </w:rPr>
        <w:t>.</w:t>
      </w:r>
      <w:r w:rsidRPr="00E70C7A">
        <w:rPr>
          <w:color w:val="000000"/>
          <w:sz w:val="22"/>
        </w:rPr>
        <w:t xml:space="preserve"> </w:t>
      </w:r>
      <w:r w:rsidR="00DB0AEF" w:rsidRPr="00E70C7A">
        <w:rPr>
          <w:color w:val="000000"/>
          <w:sz w:val="22"/>
        </w:rPr>
        <w:t xml:space="preserve">Start with the easy stuff </w:t>
      </w:r>
      <w:r w:rsidRPr="00E70C7A">
        <w:rPr>
          <w:rFonts w:ascii="Calibri" w:eastAsia="Calibri" w:hAnsi="Calibri" w:cs="Calibri"/>
          <w:color w:val="000000"/>
          <w:sz w:val="22"/>
        </w:rPr>
        <w:t xml:space="preserve">you want to know so that you won’t forget to ask it. This is information that requires brief, factual responses, such as, “How old are you?” or “Where do you live?” </w:t>
      </w:r>
      <w:r w:rsidR="00704189" w:rsidRPr="00E70C7A">
        <w:rPr>
          <w:rFonts w:ascii="Calibri" w:eastAsia="Calibri" w:hAnsi="Calibri" w:cs="Calibri"/>
          <w:color w:val="000000"/>
          <w:sz w:val="22"/>
        </w:rPr>
        <w:t>Consider telling the interviewee</w:t>
      </w:r>
      <w:r w:rsidRPr="00E70C7A">
        <w:rPr>
          <w:rFonts w:ascii="Calibri" w:eastAsia="Calibri" w:hAnsi="Calibri" w:cs="Calibri"/>
          <w:color w:val="000000"/>
          <w:sz w:val="22"/>
        </w:rPr>
        <w:t xml:space="preserve">, “I’m going to begin with the boring stuff first.” That </w:t>
      </w:r>
      <w:r w:rsidR="00DB0AEF" w:rsidRPr="00E70C7A">
        <w:rPr>
          <w:rFonts w:ascii="Calibri" w:eastAsia="Calibri" w:hAnsi="Calibri" w:cs="Calibri"/>
          <w:color w:val="000000"/>
          <w:sz w:val="22"/>
        </w:rPr>
        <w:t>lets</w:t>
      </w:r>
      <w:r w:rsidRPr="00E70C7A">
        <w:rPr>
          <w:rFonts w:ascii="Calibri" w:eastAsia="Calibri" w:hAnsi="Calibri" w:cs="Calibri"/>
          <w:color w:val="000000"/>
          <w:sz w:val="22"/>
        </w:rPr>
        <w:t xml:space="preserve"> </w:t>
      </w:r>
      <w:r w:rsidR="00704189" w:rsidRPr="00E70C7A">
        <w:rPr>
          <w:rFonts w:ascii="Calibri" w:eastAsia="Calibri" w:hAnsi="Calibri" w:cs="Calibri"/>
          <w:color w:val="000000"/>
          <w:sz w:val="22"/>
        </w:rPr>
        <w:t>them</w:t>
      </w:r>
      <w:r w:rsidRPr="00E70C7A">
        <w:rPr>
          <w:rFonts w:ascii="Calibri" w:eastAsia="Calibri" w:hAnsi="Calibri" w:cs="Calibri"/>
          <w:color w:val="000000"/>
          <w:sz w:val="22"/>
        </w:rPr>
        <w:t xml:space="preserve"> </w:t>
      </w:r>
      <w:r w:rsidR="00DB0AEF" w:rsidRPr="00E70C7A">
        <w:rPr>
          <w:rFonts w:ascii="Calibri" w:eastAsia="Calibri" w:hAnsi="Calibri" w:cs="Calibri"/>
          <w:color w:val="000000"/>
          <w:sz w:val="22"/>
        </w:rPr>
        <w:t xml:space="preserve">know </w:t>
      </w:r>
      <w:r w:rsidRPr="00E70C7A">
        <w:rPr>
          <w:rFonts w:ascii="Calibri" w:eastAsia="Calibri" w:hAnsi="Calibri" w:cs="Calibri"/>
          <w:color w:val="000000"/>
          <w:sz w:val="22"/>
        </w:rPr>
        <w:t xml:space="preserve">that </w:t>
      </w:r>
      <w:r w:rsidR="00704189" w:rsidRPr="00E70C7A">
        <w:rPr>
          <w:rFonts w:ascii="Calibri" w:eastAsia="Calibri" w:hAnsi="Calibri" w:cs="Calibri"/>
          <w:color w:val="000000"/>
          <w:sz w:val="22"/>
        </w:rPr>
        <w:t>you’ll</w:t>
      </w:r>
      <w:r w:rsidRPr="00E70C7A">
        <w:rPr>
          <w:rFonts w:ascii="Calibri" w:eastAsia="Calibri" w:hAnsi="Calibri" w:cs="Calibri"/>
          <w:color w:val="000000"/>
          <w:sz w:val="22"/>
        </w:rPr>
        <w:t xml:space="preserve"> have better questions coming up.</w:t>
      </w:r>
      <w:r w:rsidR="00491D87" w:rsidRPr="00E70C7A">
        <w:rPr>
          <w:rFonts w:ascii="Calibri" w:eastAsia="Calibri" w:hAnsi="Calibri" w:cs="Calibri"/>
          <w:color w:val="000000"/>
          <w:sz w:val="22"/>
        </w:rPr>
        <w:t xml:space="preserve"> </w:t>
      </w:r>
    </w:p>
    <w:p w14:paraId="265B5DB8" w14:textId="29E183B5" w:rsidR="00F0599E" w:rsidRPr="00E70C7A" w:rsidRDefault="00DD0F53" w:rsidP="00F0599E">
      <w:pPr>
        <w:pBdr>
          <w:top w:val="nil"/>
          <w:left w:val="nil"/>
          <w:bottom w:val="nil"/>
          <w:right w:val="nil"/>
          <w:between w:val="nil"/>
        </w:pBdr>
        <w:rPr>
          <w:rFonts w:ascii="Calibri" w:eastAsia="Calibri" w:hAnsi="Calibri" w:cs="Calibri"/>
          <w:color w:val="000000"/>
          <w:sz w:val="22"/>
        </w:rPr>
      </w:pPr>
      <w:r w:rsidRPr="00E70C7A">
        <w:rPr>
          <w:rStyle w:val="Heading3Char"/>
          <w:b/>
          <w:bCs/>
          <w:sz w:val="22"/>
          <w:szCs w:val="22"/>
        </w:rPr>
        <w:t>Use</w:t>
      </w:r>
      <w:r w:rsidR="00D87E0D" w:rsidRPr="00E70C7A">
        <w:rPr>
          <w:rStyle w:val="Heading3Char"/>
          <w:b/>
          <w:bCs/>
          <w:sz w:val="22"/>
          <w:szCs w:val="22"/>
        </w:rPr>
        <w:t xml:space="preserve"> your manners. </w:t>
      </w:r>
      <w:r w:rsidR="00F0599E" w:rsidRPr="00E70C7A">
        <w:rPr>
          <w:sz w:val="22"/>
        </w:rPr>
        <w:t>Look your interviewee in the eye</w:t>
      </w:r>
      <w:r w:rsidR="00D87E0D" w:rsidRPr="00E70C7A">
        <w:rPr>
          <w:sz w:val="22"/>
        </w:rPr>
        <w:t xml:space="preserve"> when you speak</w:t>
      </w:r>
      <w:r w:rsidR="00F0599E" w:rsidRPr="00E70C7A">
        <w:rPr>
          <w:sz w:val="22"/>
        </w:rPr>
        <w:t>.</w:t>
      </w:r>
      <w:r w:rsidR="00F0599E" w:rsidRPr="00E70C7A">
        <w:rPr>
          <w:color w:val="000000"/>
          <w:sz w:val="22"/>
        </w:rPr>
        <w:t xml:space="preserve"> </w:t>
      </w:r>
      <w:r w:rsidR="00D1687A" w:rsidRPr="00E70C7A">
        <w:rPr>
          <w:color w:val="000000"/>
          <w:sz w:val="22"/>
        </w:rPr>
        <w:t>S</w:t>
      </w:r>
      <w:r w:rsidR="00F0599E" w:rsidRPr="00E70C7A">
        <w:rPr>
          <w:rFonts w:ascii="Calibri" w:eastAsia="Calibri" w:hAnsi="Calibri" w:cs="Calibri"/>
          <w:color w:val="000000"/>
          <w:sz w:val="22"/>
        </w:rPr>
        <w:t xml:space="preserve">hake hands </w:t>
      </w:r>
      <w:r w:rsidR="00792ABF" w:rsidRPr="00E70C7A">
        <w:rPr>
          <w:rFonts w:ascii="Calibri" w:eastAsia="Calibri" w:hAnsi="Calibri" w:cs="Calibri"/>
          <w:color w:val="000000"/>
          <w:sz w:val="22"/>
        </w:rPr>
        <w:t>before and after the interview</w:t>
      </w:r>
      <w:r w:rsidR="00657D4D" w:rsidRPr="00E70C7A">
        <w:rPr>
          <w:rFonts w:ascii="Calibri" w:eastAsia="Calibri" w:hAnsi="Calibri" w:cs="Calibri"/>
          <w:color w:val="000000"/>
          <w:sz w:val="22"/>
        </w:rPr>
        <w:t>—o</w:t>
      </w:r>
      <w:r w:rsidR="00D87E0D" w:rsidRPr="00E70C7A">
        <w:rPr>
          <w:rFonts w:ascii="Calibri" w:eastAsia="Calibri" w:hAnsi="Calibri" w:cs="Calibri"/>
          <w:color w:val="000000"/>
          <w:sz w:val="22"/>
        </w:rPr>
        <w:t>r</w:t>
      </w:r>
      <w:r w:rsidR="00D1687A" w:rsidRPr="00E70C7A">
        <w:rPr>
          <w:rFonts w:ascii="Calibri" w:eastAsia="Calibri" w:hAnsi="Calibri" w:cs="Calibri"/>
          <w:color w:val="000000"/>
          <w:sz w:val="22"/>
        </w:rPr>
        <w:t>, if that is not applicable,</w:t>
      </w:r>
      <w:r w:rsidR="00D87E0D" w:rsidRPr="00E70C7A">
        <w:rPr>
          <w:rFonts w:ascii="Calibri" w:eastAsia="Calibri" w:hAnsi="Calibri" w:cs="Calibri"/>
          <w:color w:val="000000"/>
          <w:sz w:val="22"/>
        </w:rPr>
        <w:t xml:space="preserve"> </w:t>
      </w:r>
      <w:r w:rsidR="00D1687A" w:rsidRPr="00E70C7A">
        <w:rPr>
          <w:rFonts w:ascii="Calibri" w:eastAsia="Calibri" w:hAnsi="Calibri" w:cs="Calibri"/>
          <w:color w:val="000000"/>
          <w:sz w:val="22"/>
        </w:rPr>
        <w:t>use</w:t>
      </w:r>
      <w:r w:rsidR="00D87E0D" w:rsidRPr="00E70C7A">
        <w:rPr>
          <w:rFonts w:ascii="Calibri" w:eastAsia="Calibri" w:hAnsi="Calibri" w:cs="Calibri"/>
          <w:color w:val="000000"/>
          <w:sz w:val="22"/>
        </w:rPr>
        <w:t xml:space="preserve"> another appropriate greeting</w:t>
      </w:r>
      <w:r w:rsidR="00F0599E" w:rsidRPr="00E70C7A">
        <w:rPr>
          <w:rFonts w:ascii="Calibri" w:eastAsia="Calibri" w:hAnsi="Calibri" w:cs="Calibri"/>
          <w:color w:val="000000"/>
          <w:sz w:val="22"/>
        </w:rPr>
        <w:t xml:space="preserve"> </w:t>
      </w:r>
      <w:r w:rsidR="00D1687A" w:rsidRPr="00E70C7A">
        <w:rPr>
          <w:rFonts w:ascii="Calibri" w:eastAsia="Calibri" w:hAnsi="Calibri" w:cs="Calibri"/>
          <w:color w:val="000000"/>
          <w:sz w:val="22"/>
        </w:rPr>
        <w:t>method</w:t>
      </w:r>
      <w:r w:rsidR="00F0599E" w:rsidRPr="00E70C7A">
        <w:rPr>
          <w:rFonts w:ascii="Calibri" w:eastAsia="Calibri" w:hAnsi="Calibri" w:cs="Calibri"/>
          <w:color w:val="000000"/>
          <w:sz w:val="22"/>
        </w:rPr>
        <w:t xml:space="preserve">. </w:t>
      </w:r>
    </w:p>
    <w:p w14:paraId="1A272F04" w14:textId="6C23C7EC" w:rsidR="00F0599E" w:rsidRPr="00E70C7A" w:rsidRDefault="00F0599E" w:rsidP="00F0599E">
      <w:pPr>
        <w:pBdr>
          <w:top w:val="nil"/>
          <w:left w:val="nil"/>
          <w:bottom w:val="nil"/>
          <w:right w:val="nil"/>
          <w:between w:val="nil"/>
        </w:pBdr>
        <w:rPr>
          <w:rFonts w:ascii="Calibri" w:eastAsia="Calibri" w:hAnsi="Calibri" w:cs="Calibri"/>
          <w:color w:val="000000"/>
          <w:sz w:val="22"/>
        </w:rPr>
      </w:pPr>
      <w:r w:rsidRPr="00E70C7A">
        <w:rPr>
          <w:rStyle w:val="Heading3Char"/>
          <w:b/>
          <w:bCs/>
          <w:sz w:val="22"/>
          <w:szCs w:val="22"/>
        </w:rPr>
        <w:t xml:space="preserve">Dress in a way that </w:t>
      </w:r>
      <w:r w:rsidR="009C2D2C" w:rsidRPr="00E70C7A">
        <w:rPr>
          <w:rStyle w:val="Heading3Char"/>
          <w:b/>
          <w:bCs/>
          <w:sz w:val="22"/>
          <w:szCs w:val="22"/>
        </w:rPr>
        <w:t>won’t</w:t>
      </w:r>
      <w:r w:rsidRPr="00E70C7A">
        <w:rPr>
          <w:rStyle w:val="Heading3Char"/>
          <w:b/>
          <w:bCs/>
          <w:sz w:val="22"/>
          <w:szCs w:val="22"/>
        </w:rPr>
        <w:t xml:space="preserve"> make your interviewee </w:t>
      </w:r>
      <w:r w:rsidR="009C2D2C" w:rsidRPr="00E70C7A">
        <w:rPr>
          <w:rStyle w:val="Heading3Char"/>
          <w:b/>
          <w:bCs/>
          <w:sz w:val="22"/>
          <w:szCs w:val="22"/>
        </w:rPr>
        <w:t>un</w:t>
      </w:r>
      <w:r w:rsidRPr="00E70C7A">
        <w:rPr>
          <w:rStyle w:val="Heading3Char"/>
          <w:b/>
          <w:bCs/>
          <w:sz w:val="22"/>
          <w:szCs w:val="22"/>
        </w:rPr>
        <w:t>comfortable.</w:t>
      </w:r>
      <w:r w:rsidRPr="00E70C7A">
        <w:rPr>
          <w:color w:val="000000"/>
          <w:sz w:val="22"/>
        </w:rPr>
        <w:t xml:space="preserve"> </w:t>
      </w:r>
      <w:r w:rsidRPr="00E70C7A">
        <w:rPr>
          <w:rFonts w:ascii="Calibri" w:eastAsia="Calibri" w:hAnsi="Calibri" w:cs="Calibri"/>
          <w:color w:val="000000"/>
          <w:sz w:val="22"/>
        </w:rPr>
        <w:t xml:space="preserve">For example, </w:t>
      </w:r>
      <w:r w:rsidR="00540A5E" w:rsidRPr="00E70C7A">
        <w:rPr>
          <w:rFonts w:ascii="Calibri" w:eastAsia="Calibri" w:hAnsi="Calibri" w:cs="Calibri"/>
          <w:color w:val="000000"/>
          <w:sz w:val="22"/>
        </w:rPr>
        <w:t>if you are</w:t>
      </w:r>
      <w:r w:rsidRPr="00E70C7A">
        <w:rPr>
          <w:rFonts w:ascii="Calibri" w:eastAsia="Calibri" w:hAnsi="Calibri" w:cs="Calibri"/>
          <w:color w:val="000000"/>
          <w:sz w:val="22"/>
        </w:rPr>
        <w:t xml:space="preserve"> interviewing </w:t>
      </w:r>
      <w:r w:rsidR="003E258B" w:rsidRPr="00E70C7A">
        <w:rPr>
          <w:rFonts w:ascii="Calibri" w:eastAsia="Calibri" w:hAnsi="Calibri" w:cs="Calibri"/>
          <w:color w:val="000000"/>
          <w:sz w:val="22"/>
        </w:rPr>
        <w:t xml:space="preserve">an older person or someone </w:t>
      </w:r>
      <w:r w:rsidR="005D260F" w:rsidRPr="00E70C7A">
        <w:rPr>
          <w:rFonts w:ascii="Calibri" w:eastAsia="Calibri" w:hAnsi="Calibri" w:cs="Calibri"/>
          <w:color w:val="000000"/>
          <w:sz w:val="22"/>
        </w:rPr>
        <w:t>who strongly values the concept of</w:t>
      </w:r>
      <w:r w:rsidR="003E258B" w:rsidRPr="00E70C7A">
        <w:rPr>
          <w:rFonts w:ascii="Calibri" w:eastAsia="Calibri" w:hAnsi="Calibri" w:cs="Calibri"/>
          <w:color w:val="000000"/>
          <w:sz w:val="22"/>
        </w:rPr>
        <w:t xml:space="preserve"> modesty</w:t>
      </w:r>
      <w:r w:rsidRPr="00E70C7A">
        <w:rPr>
          <w:rFonts w:ascii="Calibri" w:eastAsia="Calibri" w:hAnsi="Calibri" w:cs="Calibri"/>
          <w:color w:val="000000"/>
          <w:sz w:val="22"/>
        </w:rPr>
        <w:t>, you might want to</w:t>
      </w:r>
      <w:r w:rsidR="009367EB" w:rsidRPr="00E70C7A">
        <w:rPr>
          <w:rFonts w:ascii="Calibri" w:eastAsia="Calibri" w:hAnsi="Calibri" w:cs="Calibri"/>
          <w:color w:val="000000"/>
          <w:sz w:val="22"/>
        </w:rPr>
        <w:t xml:space="preserve"> </w:t>
      </w:r>
      <w:r w:rsidR="00AC46E5" w:rsidRPr="00E70C7A">
        <w:rPr>
          <w:rFonts w:ascii="Calibri" w:eastAsia="Calibri" w:hAnsi="Calibri" w:cs="Calibri"/>
          <w:color w:val="000000"/>
          <w:sz w:val="22"/>
        </w:rPr>
        <w:t xml:space="preserve">cover up </w:t>
      </w:r>
      <w:r w:rsidR="009367EB" w:rsidRPr="00E70C7A">
        <w:rPr>
          <w:rFonts w:ascii="Calibri" w:eastAsia="Calibri" w:hAnsi="Calibri" w:cs="Calibri"/>
          <w:color w:val="000000"/>
          <w:sz w:val="22"/>
        </w:rPr>
        <w:t xml:space="preserve">any visible </w:t>
      </w:r>
      <w:r w:rsidR="00AC46E5" w:rsidRPr="00E70C7A">
        <w:rPr>
          <w:rFonts w:ascii="Calibri" w:eastAsia="Calibri" w:hAnsi="Calibri" w:cs="Calibri"/>
          <w:color w:val="000000"/>
          <w:sz w:val="22"/>
        </w:rPr>
        <w:t>tattoos</w:t>
      </w:r>
      <w:r w:rsidR="009367EB" w:rsidRPr="00E70C7A">
        <w:rPr>
          <w:rFonts w:ascii="Calibri" w:eastAsia="Calibri" w:hAnsi="Calibri" w:cs="Calibri"/>
          <w:color w:val="000000"/>
          <w:sz w:val="22"/>
        </w:rPr>
        <w:t xml:space="preserve"> or take out piercings</w:t>
      </w:r>
      <w:r w:rsidRPr="00E70C7A">
        <w:rPr>
          <w:rFonts w:ascii="Calibri" w:eastAsia="Calibri" w:hAnsi="Calibri" w:cs="Calibri"/>
          <w:color w:val="000000"/>
          <w:sz w:val="22"/>
        </w:rPr>
        <w:t>.</w:t>
      </w:r>
      <w:r w:rsidR="005A1C37" w:rsidRPr="00E70C7A">
        <w:rPr>
          <w:rFonts w:ascii="Calibri" w:eastAsia="Calibri" w:hAnsi="Calibri" w:cs="Calibri"/>
          <w:color w:val="000000"/>
          <w:sz w:val="22"/>
        </w:rPr>
        <w:t xml:space="preserve"> </w:t>
      </w:r>
      <w:r w:rsidR="00950719" w:rsidRPr="00E70C7A">
        <w:rPr>
          <w:rFonts w:ascii="Calibri" w:eastAsia="Calibri" w:hAnsi="Calibri" w:cs="Calibri"/>
          <w:color w:val="000000"/>
          <w:sz w:val="22"/>
        </w:rPr>
        <w:t>But</w:t>
      </w:r>
      <w:r w:rsidR="00E52BFF" w:rsidRPr="00E70C7A">
        <w:rPr>
          <w:rFonts w:ascii="Calibri" w:eastAsia="Calibri" w:hAnsi="Calibri" w:cs="Calibri"/>
          <w:color w:val="000000"/>
          <w:sz w:val="22"/>
        </w:rPr>
        <w:t xml:space="preserve"> i</w:t>
      </w:r>
      <w:r w:rsidR="008E7514" w:rsidRPr="00E70C7A">
        <w:rPr>
          <w:rFonts w:ascii="Calibri" w:eastAsia="Calibri" w:hAnsi="Calibri" w:cs="Calibri"/>
          <w:color w:val="000000"/>
          <w:sz w:val="22"/>
        </w:rPr>
        <w:t xml:space="preserve">f you’re interviewing </w:t>
      </w:r>
      <w:r w:rsidR="009D6008" w:rsidRPr="00E70C7A">
        <w:rPr>
          <w:rFonts w:ascii="Calibri" w:eastAsia="Calibri" w:hAnsi="Calibri" w:cs="Calibri"/>
          <w:color w:val="000000"/>
          <w:sz w:val="22"/>
        </w:rPr>
        <w:t xml:space="preserve">a student-athlete in the gym, </w:t>
      </w:r>
      <w:r w:rsidR="00BC72F9" w:rsidRPr="00E70C7A">
        <w:rPr>
          <w:rFonts w:ascii="Calibri" w:eastAsia="Calibri" w:hAnsi="Calibri" w:cs="Calibri"/>
          <w:color w:val="000000"/>
          <w:sz w:val="22"/>
        </w:rPr>
        <w:t>there’s likely no need</w:t>
      </w:r>
      <w:r w:rsidR="00D66AFE" w:rsidRPr="00E70C7A">
        <w:rPr>
          <w:rFonts w:ascii="Calibri" w:eastAsia="Calibri" w:hAnsi="Calibri" w:cs="Calibri"/>
          <w:color w:val="000000"/>
          <w:sz w:val="22"/>
        </w:rPr>
        <w:t xml:space="preserve"> </w:t>
      </w:r>
      <w:r w:rsidR="009E2B1E" w:rsidRPr="00E70C7A">
        <w:rPr>
          <w:rFonts w:ascii="Calibri" w:eastAsia="Calibri" w:hAnsi="Calibri" w:cs="Calibri"/>
          <w:color w:val="000000"/>
          <w:sz w:val="22"/>
        </w:rPr>
        <w:t xml:space="preserve">to wear a suit or </w:t>
      </w:r>
      <w:r w:rsidR="00675D30" w:rsidRPr="00E70C7A">
        <w:rPr>
          <w:rFonts w:ascii="Calibri" w:eastAsia="Calibri" w:hAnsi="Calibri" w:cs="Calibri"/>
          <w:color w:val="000000"/>
          <w:sz w:val="22"/>
        </w:rPr>
        <w:t xml:space="preserve">a </w:t>
      </w:r>
      <w:proofErr w:type="gramStart"/>
      <w:r w:rsidR="00675D30" w:rsidRPr="00E70C7A">
        <w:rPr>
          <w:rFonts w:ascii="Calibri" w:eastAsia="Calibri" w:hAnsi="Calibri" w:cs="Calibri"/>
          <w:color w:val="000000"/>
          <w:sz w:val="22"/>
        </w:rPr>
        <w:t>dress and high heels</w:t>
      </w:r>
      <w:proofErr w:type="gramEnd"/>
      <w:r w:rsidRPr="00E70C7A">
        <w:rPr>
          <w:rFonts w:ascii="Calibri" w:eastAsia="Calibri" w:hAnsi="Calibri" w:cs="Calibri"/>
          <w:color w:val="000000"/>
          <w:sz w:val="22"/>
        </w:rPr>
        <w:t xml:space="preserve">. </w:t>
      </w:r>
    </w:p>
    <w:p w14:paraId="3D43C10E" w14:textId="69E3D75A" w:rsidR="00DC03F1" w:rsidRPr="00E70C7A" w:rsidRDefault="00FE5927" w:rsidP="003227E3">
      <w:pPr>
        <w:rPr>
          <w:sz w:val="22"/>
        </w:rPr>
      </w:pPr>
      <w:r w:rsidRPr="00E70C7A">
        <w:rPr>
          <w:rStyle w:val="Heading3Char"/>
          <w:b/>
          <w:bCs/>
          <w:sz w:val="22"/>
          <w:szCs w:val="22"/>
        </w:rPr>
        <w:t>Show that</w:t>
      </w:r>
      <w:r w:rsidR="00F0599E" w:rsidRPr="00E70C7A">
        <w:rPr>
          <w:rStyle w:val="Heading3Char"/>
          <w:b/>
          <w:bCs/>
          <w:sz w:val="22"/>
          <w:szCs w:val="22"/>
        </w:rPr>
        <w:t xml:space="preserve"> you care</w:t>
      </w:r>
      <w:r w:rsidRPr="00E70C7A">
        <w:rPr>
          <w:rStyle w:val="Heading3Char"/>
          <w:b/>
          <w:bCs/>
          <w:sz w:val="22"/>
          <w:szCs w:val="22"/>
        </w:rPr>
        <w:t xml:space="preserve"> with your actions</w:t>
      </w:r>
      <w:r w:rsidR="00F0599E" w:rsidRPr="00E70C7A">
        <w:rPr>
          <w:rStyle w:val="Heading3Char"/>
          <w:b/>
          <w:bCs/>
          <w:sz w:val="22"/>
          <w:szCs w:val="22"/>
        </w:rPr>
        <w:t>.</w:t>
      </w:r>
      <w:r w:rsidR="00FC05F6" w:rsidRPr="00E70C7A">
        <w:rPr>
          <w:rStyle w:val="Heading3Char"/>
          <w:b/>
          <w:bCs/>
          <w:sz w:val="22"/>
          <w:szCs w:val="22"/>
        </w:rPr>
        <w:t xml:space="preserve"> </w:t>
      </w:r>
      <w:r w:rsidR="00FC05F6" w:rsidRPr="00E70C7A">
        <w:rPr>
          <w:sz w:val="22"/>
        </w:rPr>
        <w:t>L</w:t>
      </w:r>
      <w:r w:rsidR="003227E3" w:rsidRPr="00E70C7A">
        <w:rPr>
          <w:sz w:val="22"/>
        </w:rPr>
        <w:t>isten closely and make it clear you</w:t>
      </w:r>
      <w:r w:rsidR="00FD6879" w:rsidRPr="00E70C7A">
        <w:rPr>
          <w:sz w:val="22"/>
        </w:rPr>
        <w:t>’</w:t>
      </w:r>
      <w:r w:rsidR="003227E3" w:rsidRPr="00E70C7A">
        <w:rPr>
          <w:sz w:val="22"/>
        </w:rPr>
        <w:t>re paying attention. S</w:t>
      </w:r>
      <w:r w:rsidR="00F0599E" w:rsidRPr="00E70C7A">
        <w:rPr>
          <w:sz w:val="22"/>
        </w:rPr>
        <w:t>mile</w:t>
      </w:r>
      <w:r w:rsidR="00EF2FE4" w:rsidRPr="00E70C7A">
        <w:rPr>
          <w:sz w:val="22"/>
        </w:rPr>
        <w:t>,</w:t>
      </w:r>
      <w:r w:rsidR="00F0599E" w:rsidRPr="00E70C7A">
        <w:rPr>
          <w:sz w:val="22"/>
        </w:rPr>
        <w:t xml:space="preserve"> lean forward in your chair</w:t>
      </w:r>
      <w:r w:rsidR="00EF2FE4" w:rsidRPr="00E70C7A">
        <w:rPr>
          <w:sz w:val="22"/>
        </w:rPr>
        <w:t>,</w:t>
      </w:r>
      <w:r w:rsidR="00F0599E" w:rsidRPr="00E70C7A">
        <w:rPr>
          <w:sz w:val="22"/>
        </w:rPr>
        <w:t xml:space="preserve"> nod</w:t>
      </w:r>
      <w:r w:rsidR="00EF2FE4" w:rsidRPr="00E70C7A">
        <w:rPr>
          <w:sz w:val="22"/>
        </w:rPr>
        <w:t>, and</w:t>
      </w:r>
      <w:r w:rsidR="00F0599E" w:rsidRPr="00E70C7A">
        <w:rPr>
          <w:sz w:val="22"/>
        </w:rPr>
        <w:t xml:space="preserve"> say, “Uh-huh</w:t>
      </w:r>
      <w:r w:rsidR="008B092B" w:rsidRPr="00E70C7A">
        <w:rPr>
          <w:sz w:val="22"/>
        </w:rPr>
        <w:t>,</w:t>
      </w:r>
      <w:r w:rsidR="00F0599E" w:rsidRPr="00E70C7A">
        <w:rPr>
          <w:sz w:val="22"/>
        </w:rPr>
        <w:t>”</w:t>
      </w:r>
      <w:r w:rsidR="00FD6879" w:rsidRPr="00E70C7A">
        <w:rPr>
          <w:sz w:val="22"/>
        </w:rPr>
        <w:t xml:space="preserve"> as needed </w:t>
      </w:r>
      <w:r w:rsidR="00D87B53" w:rsidRPr="00E70C7A">
        <w:rPr>
          <w:sz w:val="22"/>
        </w:rPr>
        <w:t>throughout</w:t>
      </w:r>
      <w:r w:rsidR="00FD6879" w:rsidRPr="00E70C7A">
        <w:rPr>
          <w:sz w:val="22"/>
        </w:rPr>
        <w:t xml:space="preserve"> the interview.</w:t>
      </w:r>
      <w:r w:rsidRPr="00E70C7A">
        <w:rPr>
          <w:sz w:val="22"/>
        </w:rPr>
        <w:t xml:space="preserve"> </w:t>
      </w:r>
    </w:p>
    <w:p w14:paraId="15693CB0" w14:textId="77777777" w:rsidR="000C0127" w:rsidRPr="000C0127" w:rsidRDefault="000C0127" w:rsidP="000C0127">
      <w:pPr>
        <w:pStyle w:val="BodyText"/>
      </w:pPr>
    </w:p>
    <w:p w14:paraId="1F7D2452" w14:textId="2444F152" w:rsidR="00F341F0" w:rsidRPr="00417A47" w:rsidRDefault="00417A47" w:rsidP="00417A47">
      <w:pPr>
        <w:pStyle w:val="Citation"/>
      </w:pPr>
      <w:r>
        <w:t xml:space="preserve">Adapted from </w:t>
      </w:r>
      <w:proofErr w:type="spellStart"/>
      <w:r>
        <w:t>Mountford</w:t>
      </w:r>
      <w:proofErr w:type="spellEnd"/>
      <w:r>
        <w:t xml:space="preserve">, R. (n.d.). Roxanne </w:t>
      </w:r>
      <w:proofErr w:type="spellStart"/>
      <w:r>
        <w:t>Mountford</w:t>
      </w:r>
      <w:proofErr w:type="spellEnd"/>
      <w:r>
        <w:t xml:space="preserve"> Workshop on Interviewing. </w:t>
      </w:r>
    </w:p>
    <w:sectPr w:rsidR="00F341F0" w:rsidRPr="00417A47">
      <w:headerReference w:type="even" r:id="rId8"/>
      <w:headerReference w:type="default" r:id="rId9"/>
      <w:footerReference w:type="default" r:id="rId10"/>
      <w:head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BA5AA" w14:textId="77777777" w:rsidR="00B036A7" w:rsidRDefault="00B036A7" w:rsidP="00293785">
      <w:pPr>
        <w:spacing w:after="0" w:line="240" w:lineRule="auto"/>
      </w:pPr>
      <w:r>
        <w:separator/>
      </w:r>
    </w:p>
  </w:endnote>
  <w:endnote w:type="continuationSeparator" w:id="0">
    <w:p w14:paraId="614551FA" w14:textId="77777777" w:rsidR="00B036A7" w:rsidRDefault="00B036A7"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4E12"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0395202F" wp14:editId="0B005E67">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AAB9BF2" w14:textId="0AF68FEF" w:rsidR="00293785" w:rsidRPr="00E70C7A" w:rsidRDefault="00B036A7" w:rsidP="00E70C7A">
                          <w:pPr>
                            <w:pStyle w:val="LessonFooter"/>
                          </w:pPr>
                          <w:sdt>
                            <w:sdtPr>
                              <w:alias w:val="Title"/>
                              <w:tag w:val=""/>
                              <w:id w:val="1281607793"/>
                              <w:placeholder>
                                <w:docPart w:val="AA45C6ED4BD34C05BE370815DB19A5A4"/>
                              </w:placeholder>
                              <w:dataBinding w:prefixMappings="xmlns:ns0='http://purl.org/dc/elements/1.1/' xmlns:ns1='http://schemas.openxmlformats.org/package/2006/metadata/core-properties' " w:xpath="/ns1:coreProperties[1]/ns0:title[1]" w:storeItemID="{6C3C8BC8-F283-45AE-878A-BAB7291924A1}"/>
                              <w:text/>
                            </w:sdtPr>
                            <w:sdtEndPr/>
                            <w:sdtContent>
                              <w:r w:rsidR="00FA5079" w:rsidRPr="00E70C7A">
                                <w:t>How to Conduct an Interview</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5202F"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5AAB9BF2" w14:textId="0AF68FEF" w:rsidR="00293785" w:rsidRPr="00E70C7A" w:rsidRDefault="00B036A7" w:rsidP="00E70C7A">
                    <w:pPr>
                      <w:pStyle w:val="LessonFooter"/>
                    </w:pPr>
                    <w:sdt>
                      <w:sdtPr>
                        <w:alias w:val="Title"/>
                        <w:tag w:val=""/>
                        <w:id w:val="1281607793"/>
                        <w:placeholder>
                          <w:docPart w:val="AA45C6ED4BD34C05BE370815DB19A5A4"/>
                        </w:placeholder>
                        <w:dataBinding w:prefixMappings="xmlns:ns0='http://purl.org/dc/elements/1.1/' xmlns:ns1='http://schemas.openxmlformats.org/package/2006/metadata/core-properties' " w:xpath="/ns1:coreProperties[1]/ns0:title[1]" w:storeItemID="{6C3C8BC8-F283-45AE-878A-BAB7291924A1}"/>
                        <w:text/>
                      </w:sdtPr>
                      <w:sdtEndPr/>
                      <w:sdtContent>
                        <w:r w:rsidR="00FA5079" w:rsidRPr="00E70C7A">
                          <w:t>How to Conduct an Interview</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28325928" wp14:editId="2E930ECD">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8DAB4" w14:textId="77777777" w:rsidR="00B036A7" w:rsidRDefault="00B036A7" w:rsidP="00293785">
      <w:pPr>
        <w:spacing w:after="0" w:line="240" w:lineRule="auto"/>
      </w:pPr>
      <w:r>
        <w:separator/>
      </w:r>
    </w:p>
  </w:footnote>
  <w:footnote w:type="continuationSeparator" w:id="0">
    <w:p w14:paraId="7C74950F" w14:textId="77777777" w:rsidR="00B036A7" w:rsidRDefault="00B036A7"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CB9BE" w14:textId="77777777" w:rsidR="00E70C7A" w:rsidRDefault="00E70C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9777" w14:textId="77777777" w:rsidR="00E70C7A" w:rsidRDefault="00E70C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1714" w14:textId="77777777" w:rsidR="00E70C7A" w:rsidRDefault="00E70C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E3"/>
    <w:rsid w:val="0000344C"/>
    <w:rsid w:val="000211AB"/>
    <w:rsid w:val="00030186"/>
    <w:rsid w:val="00033D69"/>
    <w:rsid w:val="0004006F"/>
    <w:rsid w:val="0005277E"/>
    <w:rsid w:val="00053775"/>
    <w:rsid w:val="0005619A"/>
    <w:rsid w:val="0008589D"/>
    <w:rsid w:val="000C0127"/>
    <w:rsid w:val="000C24BB"/>
    <w:rsid w:val="000E5FE3"/>
    <w:rsid w:val="001053CE"/>
    <w:rsid w:val="001065EF"/>
    <w:rsid w:val="0011259B"/>
    <w:rsid w:val="00116FDD"/>
    <w:rsid w:val="00125621"/>
    <w:rsid w:val="00141A0C"/>
    <w:rsid w:val="00162F07"/>
    <w:rsid w:val="00174E9A"/>
    <w:rsid w:val="001D0BBF"/>
    <w:rsid w:val="001E1F85"/>
    <w:rsid w:val="001F125D"/>
    <w:rsid w:val="001F562A"/>
    <w:rsid w:val="00204D7C"/>
    <w:rsid w:val="002107F4"/>
    <w:rsid w:val="002315DE"/>
    <w:rsid w:val="002345CC"/>
    <w:rsid w:val="00281B5B"/>
    <w:rsid w:val="00293785"/>
    <w:rsid w:val="002938D2"/>
    <w:rsid w:val="002C0879"/>
    <w:rsid w:val="002C37B4"/>
    <w:rsid w:val="002C5E57"/>
    <w:rsid w:val="002C6D15"/>
    <w:rsid w:val="00306285"/>
    <w:rsid w:val="003227E3"/>
    <w:rsid w:val="00326B1F"/>
    <w:rsid w:val="003365FB"/>
    <w:rsid w:val="00350B87"/>
    <w:rsid w:val="0036040A"/>
    <w:rsid w:val="00366400"/>
    <w:rsid w:val="00380D86"/>
    <w:rsid w:val="003938C1"/>
    <w:rsid w:val="00397FA9"/>
    <w:rsid w:val="003A6618"/>
    <w:rsid w:val="003D0F02"/>
    <w:rsid w:val="003D4B5F"/>
    <w:rsid w:val="003D65E3"/>
    <w:rsid w:val="003E258B"/>
    <w:rsid w:val="003F30C0"/>
    <w:rsid w:val="00402763"/>
    <w:rsid w:val="00406D05"/>
    <w:rsid w:val="00417A47"/>
    <w:rsid w:val="00435115"/>
    <w:rsid w:val="00443FCD"/>
    <w:rsid w:val="00446C13"/>
    <w:rsid w:val="00491D87"/>
    <w:rsid w:val="00494071"/>
    <w:rsid w:val="004B68B5"/>
    <w:rsid w:val="004E4C72"/>
    <w:rsid w:val="004F3563"/>
    <w:rsid w:val="00500CDC"/>
    <w:rsid w:val="00501351"/>
    <w:rsid w:val="005078B4"/>
    <w:rsid w:val="00511E57"/>
    <w:rsid w:val="0053328A"/>
    <w:rsid w:val="00534985"/>
    <w:rsid w:val="00540A5E"/>
    <w:rsid w:val="00540FC6"/>
    <w:rsid w:val="005432EB"/>
    <w:rsid w:val="00547B17"/>
    <w:rsid w:val="005511B6"/>
    <w:rsid w:val="00553C98"/>
    <w:rsid w:val="00556495"/>
    <w:rsid w:val="00584B24"/>
    <w:rsid w:val="005A1C37"/>
    <w:rsid w:val="005A7635"/>
    <w:rsid w:val="005A7B85"/>
    <w:rsid w:val="005B56EE"/>
    <w:rsid w:val="005B5A1E"/>
    <w:rsid w:val="005D1147"/>
    <w:rsid w:val="005D260F"/>
    <w:rsid w:val="005D55B2"/>
    <w:rsid w:val="005E3834"/>
    <w:rsid w:val="005E45FD"/>
    <w:rsid w:val="0062058E"/>
    <w:rsid w:val="006261E0"/>
    <w:rsid w:val="00645D7F"/>
    <w:rsid w:val="0065404D"/>
    <w:rsid w:val="00656940"/>
    <w:rsid w:val="00657D4D"/>
    <w:rsid w:val="00663632"/>
    <w:rsid w:val="00665274"/>
    <w:rsid w:val="00666C03"/>
    <w:rsid w:val="00675D30"/>
    <w:rsid w:val="00677E52"/>
    <w:rsid w:val="00682B7A"/>
    <w:rsid w:val="00686DAB"/>
    <w:rsid w:val="006B4CC2"/>
    <w:rsid w:val="006C334D"/>
    <w:rsid w:val="006C538A"/>
    <w:rsid w:val="006E1542"/>
    <w:rsid w:val="006E166C"/>
    <w:rsid w:val="006E744D"/>
    <w:rsid w:val="00704189"/>
    <w:rsid w:val="00706C8B"/>
    <w:rsid w:val="007150A5"/>
    <w:rsid w:val="00721EA4"/>
    <w:rsid w:val="0072447E"/>
    <w:rsid w:val="00741BCB"/>
    <w:rsid w:val="00753FD6"/>
    <w:rsid w:val="00757DB5"/>
    <w:rsid w:val="00773FE9"/>
    <w:rsid w:val="0078097A"/>
    <w:rsid w:val="00781F3F"/>
    <w:rsid w:val="00786BED"/>
    <w:rsid w:val="0078776B"/>
    <w:rsid w:val="00792ABF"/>
    <w:rsid w:val="00797CB5"/>
    <w:rsid w:val="007A0A8D"/>
    <w:rsid w:val="007B055F"/>
    <w:rsid w:val="007B51DD"/>
    <w:rsid w:val="007C69DA"/>
    <w:rsid w:val="007E6F1D"/>
    <w:rsid w:val="00870BEA"/>
    <w:rsid w:val="00880013"/>
    <w:rsid w:val="008920A4"/>
    <w:rsid w:val="008B092B"/>
    <w:rsid w:val="008B7B3B"/>
    <w:rsid w:val="008C74A9"/>
    <w:rsid w:val="008E0C1E"/>
    <w:rsid w:val="008E74BD"/>
    <w:rsid w:val="008E7514"/>
    <w:rsid w:val="008F5386"/>
    <w:rsid w:val="00913172"/>
    <w:rsid w:val="00927009"/>
    <w:rsid w:val="009367EB"/>
    <w:rsid w:val="00944DBD"/>
    <w:rsid w:val="00950719"/>
    <w:rsid w:val="00977726"/>
    <w:rsid w:val="00981E19"/>
    <w:rsid w:val="009A0393"/>
    <w:rsid w:val="009B4C39"/>
    <w:rsid w:val="009B52E4"/>
    <w:rsid w:val="009C2D2C"/>
    <w:rsid w:val="009D6008"/>
    <w:rsid w:val="009D6E8D"/>
    <w:rsid w:val="009E166A"/>
    <w:rsid w:val="009E2B1E"/>
    <w:rsid w:val="009E4678"/>
    <w:rsid w:val="00A07E99"/>
    <w:rsid w:val="00A101E8"/>
    <w:rsid w:val="00A279BD"/>
    <w:rsid w:val="00A42885"/>
    <w:rsid w:val="00A46FB9"/>
    <w:rsid w:val="00A7173B"/>
    <w:rsid w:val="00AC349E"/>
    <w:rsid w:val="00AC46E5"/>
    <w:rsid w:val="00AF266F"/>
    <w:rsid w:val="00AF3D21"/>
    <w:rsid w:val="00B0210A"/>
    <w:rsid w:val="00B036A7"/>
    <w:rsid w:val="00B163F0"/>
    <w:rsid w:val="00B2005C"/>
    <w:rsid w:val="00B3475F"/>
    <w:rsid w:val="00B64235"/>
    <w:rsid w:val="00B72471"/>
    <w:rsid w:val="00B7278F"/>
    <w:rsid w:val="00B92DBF"/>
    <w:rsid w:val="00BC72F9"/>
    <w:rsid w:val="00BD119F"/>
    <w:rsid w:val="00BD7B6E"/>
    <w:rsid w:val="00C05DD8"/>
    <w:rsid w:val="00C36629"/>
    <w:rsid w:val="00C46FFB"/>
    <w:rsid w:val="00C552FE"/>
    <w:rsid w:val="00C57944"/>
    <w:rsid w:val="00C61041"/>
    <w:rsid w:val="00C65FD9"/>
    <w:rsid w:val="00C73EA1"/>
    <w:rsid w:val="00C8524A"/>
    <w:rsid w:val="00C944FB"/>
    <w:rsid w:val="00CA237F"/>
    <w:rsid w:val="00CA7AE6"/>
    <w:rsid w:val="00CB077D"/>
    <w:rsid w:val="00CB0F9D"/>
    <w:rsid w:val="00CB37C6"/>
    <w:rsid w:val="00CC4F77"/>
    <w:rsid w:val="00CC61FA"/>
    <w:rsid w:val="00CD3CF6"/>
    <w:rsid w:val="00CE336D"/>
    <w:rsid w:val="00CE6418"/>
    <w:rsid w:val="00CF1320"/>
    <w:rsid w:val="00D0694C"/>
    <w:rsid w:val="00D1059C"/>
    <w:rsid w:val="00D106FF"/>
    <w:rsid w:val="00D15E38"/>
    <w:rsid w:val="00D1687A"/>
    <w:rsid w:val="00D626EB"/>
    <w:rsid w:val="00D6426E"/>
    <w:rsid w:val="00D64873"/>
    <w:rsid w:val="00D66AFE"/>
    <w:rsid w:val="00D73D6A"/>
    <w:rsid w:val="00D87B53"/>
    <w:rsid w:val="00D87E0D"/>
    <w:rsid w:val="00DA45E7"/>
    <w:rsid w:val="00DB0AEF"/>
    <w:rsid w:val="00DC03F1"/>
    <w:rsid w:val="00DC7A6D"/>
    <w:rsid w:val="00DD0F53"/>
    <w:rsid w:val="00DF101F"/>
    <w:rsid w:val="00E16EE0"/>
    <w:rsid w:val="00E2128E"/>
    <w:rsid w:val="00E52BFF"/>
    <w:rsid w:val="00E70C7A"/>
    <w:rsid w:val="00E918B3"/>
    <w:rsid w:val="00E976D9"/>
    <w:rsid w:val="00ED24C8"/>
    <w:rsid w:val="00EE47C5"/>
    <w:rsid w:val="00EF2FE4"/>
    <w:rsid w:val="00F00652"/>
    <w:rsid w:val="00F0599E"/>
    <w:rsid w:val="00F072EF"/>
    <w:rsid w:val="00F14A85"/>
    <w:rsid w:val="00F1638D"/>
    <w:rsid w:val="00F231AF"/>
    <w:rsid w:val="00F31CB6"/>
    <w:rsid w:val="00F341F0"/>
    <w:rsid w:val="00F377E2"/>
    <w:rsid w:val="00F50748"/>
    <w:rsid w:val="00F72D02"/>
    <w:rsid w:val="00F752E4"/>
    <w:rsid w:val="00F82A96"/>
    <w:rsid w:val="00F8417A"/>
    <w:rsid w:val="00F85F1E"/>
    <w:rsid w:val="00FA5079"/>
    <w:rsid w:val="00FC05F6"/>
    <w:rsid w:val="00FC73DF"/>
    <w:rsid w:val="00FD344B"/>
    <w:rsid w:val="00FD6879"/>
    <w:rsid w:val="00FE5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61821"/>
  <w15:docId w15:val="{FB4F1166-0597-49AE-B6D7-66B60B8F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A46FB9"/>
    <w:pPr>
      <w:keepNext/>
      <w:keepLines/>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E70C7A"/>
    <w:pPr>
      <w:jc w:val="right"/>
    </w:pPr>
    <w:rPr>
      <w:b/>
      <w:caps/>
      <w:color w:val="2D2D2D"/>
      <w:sz w:val="22"/>
    </w:rPr>
  </w:style>
  <w:style w:type="character" w:customStyle="1" w:styleId="LessonFooterChar">
    <w:name w:val="Lesson Footer Char"/>
    <w:basedOn w:val="TitleChar"/>
    <w:link w:val="LessonFooter"/>
    <w:rsid w:val="00E70C7A"/>
    <w:rPr>
      <w:rFonts w:asciiTheme="majorHAnsi" w:eastAsiaTheme="majorEastAsia" w:hAnsiTheme="majorHAnsi" w:cstheme="majorBidi"/>
      <w:b/>
      <w:caps/>
      <w:color w:val="2D2D2D"/>
      <w:kern w:val="28"/>
      <w:sz w:val="32"/>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A46FB9"/>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45C6ED4BD34C05BE370815DB19A5A4"/>
        <w:category>
          <w:name w:val="General"/>
          <w:gallery w:val="placeholder"/>
        </w:category>
        <w:types>
          <w:type w:val="bbPlcHdr"/>
        </w:types>
        <w:behaviors>
          <w:behavior w:val="content"/>
        </w:behaviors>
        <w:guid w:val="{030F34D9-8437-4B51-9C7E-7FD22198DC9E}"/>
      </w:docPartPr>
      <w:docPartBody>
        <w:p w:rsidR="00ED6843" w:rsidRDefault="000B16B1">
          <w:pPr>
            <w:pStyle w:val="AA45C6ED4BD34C05BE370815DB19A5A4"/>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6B1"/>
    <w:rsid w:val="000B16B1"/>
    <w:rsid w:val="002550FF"/>
    <w:rsid w:val="00ED6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A45C6ED4BD34C05BE370815DB19A5A4">
    <w:name w:val="AA45C6ED4BD34C05BE370815DB19A5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C:\Users\Daniella - Work\OneDrive - University of Oklahoma\Documents\Custom Office Templates\TEMPLATE Vertical LEARN Attachment with Instructions.dotx</Template>
  <TotalTime>174</TotalTime>
  <Pages>5</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Conduct an Interview</dc:title>
  <dc:creator>k20center@ou.edu</dc:creator>
  <cp:lastModifiedBy>Shogren, Caitlin</cp:lastModifiedBy>
  <cp:revision>196</cp:revision>
  <cp:lastPrinted>2016-07-14T14:08:00Z</cp:lastPrinted>
  <dcterms:created xsi:type="dcterms:W3CDTF">2022-03-04T22:54:00Z</dcterms:created>
  <dcterms:modified xsi:type="dcterms:W3CDTF">2022-03-11T22:11:00Z</dcterms:modified>
</cp:coreProperties>
</file>