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DA35E" w14:textId="67AE1801" w:rsidR="00DC1CA0" w:rsidRPr="00072D23" w:rsidRDefault="00AF0F9B" w:rsidP="00072D23">
      <w:pPr>
        <w:pStyle w:val="Title"/>
      </w:pPr>
      <w:r>
        <w:t>ACT CHALLENGE (TEACHER GUIDE)</w:t>
      </w:r>
    </w:p>
    <w:p w14:paraId="6660C106" w14:textId="3576AE39" w:rsidR="00DC1CA0" w:rsidRPr="00304DC6" w:rsidRDefault="00AF0F9B" w:rsidP="00A70198">
      <w:pPr>
        <w:pStyle w:val="Heading1"/>
      </w:pPr>
      <w:r w:rsidRPr="00AF0F9B">
        <w:rPr>
          <w:rFonts w:eastAsiaTheme="minorHAnsi"/>
          <w:b w:val="0"/>
          <w:bCs w:val="0"/>
          <w:color w:val="auto"/>
          <w:kern w:val="2"/>
          <w:shd w:val="clear" w:color="auto" w:fill="auto"/>
          <w14:ligatures w14:val="standardContextual"/>
        </w:rPr>
        <w:t xml:space="preserve">The following table of answers and explanations correlate to the “Shooting an Elephant” passage. As part of ACT best practices, try to make time to review not only the correct answers but explaining why the other choices were incorrect. </w:t>
      </w:r>
      <w:r w:rsidR="00D72955" w:rsidRPr="009F0B2E">
        <w:t xml:space="preserve"> </w:t>
      </w:r>
    </w:p>
    <w:tbl>
      <w:tblPr>
        <w:tblW w:w="9445" w:type="dxa"/>
        <w:tblBorders>
          <w:top w:val="single" w:sz="4" w:space="0" w:color="B231F0"/>
          <w:left w:val="single" w:sz="4" w:space="0" w:color="B231F0"/>
          <w:bottom w:val="single" w:sz="4" w:space="0" w:color="B231F0"/>
          <w:right w:val="single" w:sz="4" w:space="0" w:color="B231F0"/>
          <w:insideH w:val="single" w:sz="4" w:space="0" w:color="B231F0"/>
          <w:insideV w:val="single" w:sz="4" w:space="0" w:color="B231F0"/>
        </w:tblBorders>
        <w:tblCellMar>
          <w:top w:w="15" w:type="dxa"/>
          <w:left w:w="15" w:type="dxa"/>
          <w:bottom w:w="15" w:type="dxa"/>
          <w:right w:w="15" w:type="dxa"/>
        </w:tblCellMar>
        <w:tblLook w:val="0620" w:firstRow="1" w:lastRow="0" w:firstColumn="0" w:lastColumn="0" w:noHBand="1" w:noVBand="1"/>
      </w:tblPr>
      <w:tblGrid>
        <w:gridCol w:w="1136"/>
        <w:gridCol w:w="982"/>
        <w:gridCol w:w="7327"/>
      </w:tblGrid>
      <w:tr w:rsidR="00A1673F" w:rsidRPr="00DC1CA0" w14:paraId="644265C0" w14:textId="77777777" w:rsidTr="00AF0F9B">
        <w:trPr>
          <w:tblHeader/>
        </w:trPr>
        <w:tc>
          <w:tcPr>
            <w:tcW w:w="1136" w:type="dxa"/>
            <w:shd w:val="clear" w:color="auto" w:fill="0F6CF2"/>
            <w:tcMar>
              <w:top w:w="115" w:type="dxa"/>
              <w:left w:w="115" w:type="dxa"/>
              <w:bottom w:w="115" w:type="dxa"/>
              <w:right w:w="115" w:type="dxa"/>
            </w:tcMar>
            <w:vAlign w:val="center"/>
            <w:hideMark/>
          </w:tcPr>
          <w:p w14:paraId="6E2FA81B" w14:textId="3F87E450" w:rsidR="00A1673F" w:rsidRPr="00DC1CA0" w:rsidRDefault="00AF0F9B" w:rsidP="00AF0F9B">
            <w:pPr>
              <w:jc w:val="center"/>
              <w:rPr>
                <w:rFonts w:ascii="Times New Roman" w:hAnsi="Times New Roman" w:cs="Times New Roman"/>
                <w:b/>
                <w:bCs/>
                <w:color w:val="FFFFFF" w:themeColor="background1"/>
              </w:rPr>
            </w:pPr>
            <w:r>
              <w:rPr>
                <w:b/>
                <w:bCs/>
                <w:color w:val="FFFFFF" w:themeColor="background1"/>
              </w:rPr>
              <w:t>Question</w:t>
            </w:r>
          </w:p>
        </w:tc>
        <w:tc>
          <w:tcPr>
            <w:tcW w:w="982" w:type="dxa"/>
            <w:shd w:val="clear" w:color="auto" w:fill="0F6CF2"/>
            <w:tcMar>
              <w:top w:w="115" w:type="dxa"/>
              <w:left w:w="115" w:type="dxa"/>
              <w:bottom w:w="115" w:type="dxa"/>
              <w:right w:w="115" w:type="dxa"/>
            </w:tcMar>
            <w:vAlign w:val="center"/>
            <w:hideMark/>
          </w:tcPr>
          <w:p w14:paraId="35510EC4" w14:textId="3C8399D3" w:rsidR="00A1673F" w:rsidRPr="00DC1CA0" w:rsidRDefault="00AF0F9B" w:rsidP="00AF0F9B">
            <w:pPr>
              <w:jc w:val="center"/>
              <w:rPr>
                <w:rFonts w:ascii="Times New Roman" w:hAnsi="Times New Roman" w:cs="Times New Roman"/>
                <w:b/>
                <w:bCs/>
                <w:color w:val="FFFFFF" w:themeColor="background1"/>
              </w:rPr>
            </w:pPr>
            <w:r>
              <w:rPr>
                <w:b/>
                <w:bCs/>
                <w:color w:val="FFFFFF" w:themeColor="background1"/>
              </w:rPr>
              <w:t>Answer</w:t>
            </w:r>
          </w:p>
        </w:tc>
        <w:tc>
          <w:tcPr>
            <w:tcW w:w="7327" w:type="dxa"/>
            <w:shd w:val="clear" w:color="auto" w:fill="0F6CF2"/>
            <w:tcMar>
              <w:top w:w="115" w:type="dxa"/>
              <w:left w:w="115" w:type="dxa"/>
              <w:bottom w:w="115" w:type="dxa"/>
              <w:right w:w="115" w:type="dxa"/>
            </w:tcMar>
            <w:vAlign w:val="center"/>
            <w:hideMark/>
          </w:tcPr>
          <w:p w14:paraId="01B051E5" w14:textId="1B56E04F" w:rsidR="00A1673F" w:rsidRPr="00DC1CA0" w:rsidRDefault="00AF0F9B" w:rsidP="00AF0F9B">
            <w:pPr>
              <w:jc w:val="center"/>
              <w:rPr>
                <w:rFonts w:ascii="Times New Roman" w:hAnsi="Times New Roman" w:cs="Times New Roman"/>
                <w:b/>
                <w:bCs/>
                <w:color w:val="FFFFFF" w:themeColor="background1"/>
              </w:rPr>
            </w:pPr>
            <w:r>
              <w:rPr>
                <w:b/>
                <w:bCs/>
                <w:color w:val="FFFFFF" w:themeColor="background1"/>
              </w:rPr>
              <w:t>Explanation</w:t>
            </w:r>
          </w:p>
        </w:tc>
      </w:tr>
      <w:tr w:rsidR="00A1673F" w:rsidRPr="00DC1CA0" w14:paraId="69BA2110" w14:textId="77777777" w:rsidTr="00AF0F9B">
        <w:tc>
          <w:tcPr>
            <w:tcW w:w="1136" w:type="dxa"/>
            <w:shd w:val="clear" w:color="auto" w:fill="D5EBF9"/>
            <w:tcMar>
              <w:top w:w="115" w:type="dxa"/>
              <w:left w:w="115" w:type="dxa"/>
              <w:bottom w:w="115" w:type="dxa"/>
              <w:right w:w="115" w:type="dxa"/>
            </w:tcMar>
            <w:vAlign w:val="center"/>
            <w:hideMark/>
          </w:tcPr>
          <w:p w14:paraId="6246735B" w14:textId="1C39B841" w:rsidR="00A1673F" w:rsidRPr="000E0B43" w:rsidRDefault="00AF0F9B" w:rsidP="00AF0F9B">
            <w:pPr>
              <w:jc w:val="center"/>
              <w:rPr>
                <w:rFonts w:ascii="Times New Roman" w:hAnsi="Times New Roman" w:cs="Times New Roman"/>
                <w:b/>
                <w:bCs/>
                <w:color w:val="0F6CF2"/>
                <w:sz w:val="22"/>
                <w:szCs w:val="22"/>
              </w:rPr>
            </w:pPr>
            <w:r w:rsidRPr="000E0B43">
              <w:rPr>
                <w:b/>
                <w:bCs/>
                <w:color w:val="0F6CF2"/>
                <w:sz w:val="22"/>
                <w:szCs w:val="22"/>
              </w:rPr>
              <w:t>1</w:t>
            </w:r>
          </w:p>
        </w:tc>
        <w:tc>
          <w:tcPr>
            <w:tcW w:w="982" w:type="dxa"/>
            <w:shd w:val="clear" w:color="auto" w:fill="D5EBF9"/>
            <w:tcMar>
              <w:top w:w="115" w:type="dxa"/>
              <w:left w:w="115" w:type="dxa"/>
              <w:bottom w:w="115" w:type="dxa"/>
              <w:right w:w="115" w:type="dxa"/>
            </w:tcMar>
            <w:vAlign w:val="center"/>
            <w:hideMark/>
          </w:tcPr>
          <w:p w14:paraId="43C45D86" w14:textId="4AD9B5BC" w:rsidR="00A1673F" w:rsidRPr="000E0B43" w:rsidRDefault="00AF0F9B" w:rsidP="00AF0F9B">
            <w:pPr>
              <w:jc w:val="center"/>
              <w:rPr>
                <w:rFonts w:ascii="Times New Roman" w:hAnsi="Times New Roman" w:cs="Times New Roman"/>
                <w:sz w:val="22"/>
                <w:szCs w:val="22"/>
              </w:rPr>
            </w:pPr>
            <w:r w:rsidRPr="000E0B43">
              <w:rPr>
                <w:sz w:val="22"/>
                <w:szCs w:val="22"/>
              </w:rPr>
              <w:t>A</w:t>
            </w:r>
          </w:p>
        </w:tc>
        <w:tc>
          <w:tcPr>
            <w:tcW w:w="7327" w:type="dxa"/>
            <w:shd w:val="clear" w:color="auto" w:fill="D5EBF9"/>
            <w:tcMar>
              <w:top w:w="115" w:type="dxa"/>
              <w:left w:w="115" w:type="dxa"/>
              <w:bottom w:w="115" w:type="dxa"/>
              <w:right w:w="115" w:type="dxa"/>
            </w:tcMar>
            <w:vAlign w:val="center"/>
            <w:hideMark/>
          </w:tcPr>
          <w:p w14:paraId="5F44B3FF" w14:textId="0F6190EA" w:rsidR="00A1673F" w:rsidRPr="000E0B43" w:rsidRDefault="00AF0F9B" w:rsidP="00BD6A8E">
            <w:pPr>
              <w:rPr>
                <w:sz w:val="22"/>
                <w:szCs w:val="22"/>
              </w:rPr>
            </w:pPr>
            <w:r w:rsidRPr="000E0B43">
              <w:rPr>
                <w:rFonts w:ascii="Calibri" w:hAnsi="Calibri" w:cs="Calibri"/>
                <w:b/>
                <w:bCs/>
                <w:sz w:val="22"/>
                <w:szCs w:val="22"/>
              </w:rPr>
              <w:t>B</w:t>
            </w:r>
            <w:r w:rsidRPr="000E0B43">
              <w:rPr>
                <w:rFonts w:ascii="Calibri" w:hAnsi="Calibri" w:cs="Calibri"/>
                <w:sz w:val="22"/>
                <w:szCs w:val="22"/>
              </w:rPr>
              <w:t xml:space="preserve"> and </w:t>
            </w:r>
            <w:r w:rsidRPr="000E0B43">
              <w:rPr>
                <w:rFonts w:ascii="Calibri" w:hAnsi="Calibri" w:cs="Calibri"/>
                <w:b/>
                <w:bCs/>
                <w:sz w:val="22"/>
                <w:szCs w:val="22"/>
              </w:rPr>
              <w:t>D</w:t>
            </w:r>
            <w:r w:rsidRPr="000E0B43">
              <w:rPr>
                <w:rFonts w:ascii="Calibri" w:hAnsi="Calibri" w:cs="Calibri"/>
                <w:sz w:val="22"/>
                <w:szCs w:val="22"/>
              </w:rPr>
              <w:t xml:space="preserve"> incorrectly create sentence fragments. </w:t>
            </w:r>
            <w:r w:rsidRPr="000E0B43">
              <w:rPr>
                <w:rFonts w:ascii="Calibri" w:hAnsi="Calibri" w:cs="Calibri"/>
                <w:b/>
                <w:bCs/>
                <w:sz w:val="22"/>
                <w:szCs w:val="22"/>
              </w:rPr>
              <w:t>C</w:t>
            </w:r>
            <w:r w:rsidRPr="000E0B43">
              <w:rPr>
                <w:rFonts w:ascii="Calibri" w:hAnsi="Calibri" w:cs="Calibri"/>
                <w:sz w:val="22"/>
                <w:szCs w:val="22"/>
              </w:rPr>
              <w:t xml:space="preserve"> introduces a semicolon but still leaves a fragment after it. </w:t>
            </w:r>
            <w:r w:rsidRPr="000E0B43">
              <w:rPr>
                <w:rFonts w:ascii="Calibri" w:hAnsi="Calibri" w:cs="Calibri"/>
                <w:b/>
                <w:bCs/>
                <w:sz w:val="22"/>
                <w:szCs w:val="22"/>
              </w:rPr>
              <w:t>A</w:t>
            </w:r>
            <w:r w:rsidRPr="000E0B43">
              <w:rPr>
                <w:rFonts w:ascii="Calibri" w:hAnsi="Calibri" w:cs="Calibri"/>
                <w:sz w:val="22"/>
                <w:szCs w:val="22"/>
              </w:rPr>
              <w:t xml:space="preserve"> is correct because the commas properly separate modifying phrases without splicing two independent clauses.</w:t>
            </w:r>
          </w:p>
        </w:tc>
      </w:tr>
      <w:tr w:rsidR="00A1673F" w:rsidRPr="00DC1CA0" w14:paraId="3D5F3E88" w14:textId="77777777" w:rsidTr="00AF0F9B">
        <w:tc>
          <w:tcPr>
            <w:tcW w:w="1136" w:type="dxa"/>
            <w:tcMar>
              <w:top w:w="115" w:type="dxa"/>
              <w:left w:w="115" w:type="dxa"/>
              <w:bottom w:w="115" w:type="dxa"/>
              <w:right w:w="115" w:type="dxa"/>
            </w:tcMar>
            <w:vAlign w:val="center"/>
            <w:hideMark/>
          </w:tcPr>
          <w:p w14:paraId="24936471" w14:textId="57E42978" w:rsidR="00A1673F" w:rsidRPr="000E0B43" w:rsidRDefault="00AF0F9B" w:rsidP="00AF0F9B">
            <w:pPr>
              <w:jc w:val="center"/>
              <w:rPr>
                <w:rFonts w:ascii="Times New Roman" w:hAnsi="Times New Roman" w:cs="Times New Roman"/>
                <w:b/>
                <w:bCs/>
                <w:color w:val="0F6CF2"/>
                <w:sz w:val="22"/>
                <w:szCs w:val="22"/>
              </w:rPr>
            </w:pPr>
            <w:r w:rsidRPr="000E0B43">
              <w:rPr>
                <w:b/>
                <w:bCs/>
                <w:color w:val="0F6CF2"/>
                <w:sz w:val="22"/>
                <w:szCs w:val="22"/>
              </w:rPr>
              <w:t>2</w:t>
            </w:r>
          </w:p>
        </w:tc>
        <w:tc>
          <w:tcPr>
            <w:tcW w:w="982" w:type="dxa"/>
            <w:tcMar>
              <w:top w:w="115" w:type="dxa"/>
              <w:left w:w="115" w:type="dxa"/>
              <w:bottom w:w="115" w:type="dxa"/>
              <w:right w:w="115" w:type="dxa"/>
            </w:tcMar>
            <w:vAlign w:val="center"/>
            <w:hideMark/>
          </w:tcPr>
          <w:p w14:paraId="4580FFAB" w14:textId="63C0076F" w:rsidR="00A1673F" w:rsidRPr="000E0B43" w:rsidRDefault="00DA0DC8" w:rsidP="00AF0F9B">
            <w:pPr>
              <w:jc w:val="center"/>
              <w:rPr>
                <w:sz w:val="22"/>
                <w:szCs w:val="22"/>
              </w:rPr>
            </w:pPr>
            <w:r w:rsidRPr="000E0B43">
              <w:rPr>
                <w:sz w:val="22"/>
                <w:szCs w:val="22"/>
              </w:rPr>
              <w:t>B</w:t>
            </w:r>
          </w:p>
        </w:tc>
        <w:tc>
          <w:tcPr>
            <w:tcW w:w="7327" w:type="dxa"/>
            <w:tcMar>
              <w:top w:w="115" w:type="dxa"/>
              <w:left w:w="115" w:type="dxa"/>
              <w:bottom w:w="115" w:type="dxa"/>
              <w:right w:w="115" w:type="dxa"/>
            </w:tcMar>
            <w:vAlign w:val="center"/>
            <w:hideMark/>
          </w:tcPr>
          <w:p w14:paraId="00DD1AF1" w14:textId="4F4CBC7C" w:rsidR="00A1673F" w:rsidRPr="000E0B43" w:rsidRDefault="00DA0DC8" w:rsidP="00BD6A8E">
            <w:pPr>
              <w:rPr>
                <w:sz w:val="22"/>
                <w:szCs w:val="22"/>
              </w:rPr>
            </w:pPr>
            <w:r w:rsidRPr="000E0B43">
              <w:rPr>
                <w:b/>
                <w:bCs/>
                <w:sz w:val="22"/>
                <w:szCs w:val="22"/>
              </w:rPr>
              <w:t>A</w:t>
            </w:r>
            <w:r w:rsidRPr="000E0B43">
              <w:rPr>
                <w:sz w:val="22"/>
                <w:szCs w:val="22"/>
              </w:rPr>
              <w:t xml:space="preserve"> incorrectly shifts from third person "one" to second person "your," creating inconsistent pronoun usage. </w:t>
            </w:r>
            <w:r w:rsidRPr="000E0B43">
              <w:rPr>
                <w:b/>
                <w:bCs/>
                <w:sz w:val="22"/>
                <w:szCs w:val="22"/>
              </w:rPr>
              <w:t>C</w:t>
            </w:r>
            <w:r w:rsidRPr="000E0B43">
              <w:rPr>
                <w:sz w:val="22"/>
                <w:szCs w:val="22"/>
              </w:rPr>
              <w:t xml:space="preserve"> creates pronoun-antecedent disagreement between singular "one" and plural "their." </w:t>
            </w:r>
            <w:r w:rsidRPr="000E0B43">
              <w:rPr>
                <w:b/>
                <w:bCs/>
                <w:sz w:val="22"/>
                <w:szCs w:val="22"/>
              </w:rPr>
              <w:t>D</w:t>
            </w:r>
            <w:r w:rsidRPr="000E0B43">
              <w:rPr>
                <w:sz w:val="22"/>
                <w:szCs w:val="22"/>
              </w:rPr>
              <w:t xml:space="preserve"> shifts to first person plural, which is inconsistent with the established third person perspective. </w:t>
            </w:r>
            <w:r w:rsidRPr="000E0B43">
              <w:rPr>
                <w:b/>
                <w:bCs/>
                <w:sz w:val="22"/>
                <w:szCs w:val="22"/>
              </w:rPr>
              <w:t>B</w:t>
            </w:r>
            <w:r w:rsidRPr="000E0B43">
              <w:rPr>
                <w:sz w:val="22"/>
                <w:szCs w:val="22"/>
              </w:rPr>
              <w:t xml:space="preserve"> is correct because it maintains consistent third person pronoun usage with "one's" properly matching the antecedent "one."</w:t>
            </w:r>
          </w:p>
        </w:tc>
      </w:tr>
      <w:tr w:rsidR="00A1673F" w:rsidRPr="00DC1CA0" w14:paraId="75D4A78B" w14:textId="77777777" w:rsidTr="00AF0F9B">
        <w:tc>
          <w:tcPr>
            <w:tcW w:w="1136" w:type="dxa"/>
            <w:shd w:val="clear" w:color="auto" w:fill="D5EBF9"/>
            <w:tcMar>
              <w:top w:w="115" w:type="dxa"/>
              <w:left w:w="115" w:type="dxa"/>
              <w:bottom w:w="115" w:type="dxa"/>
              <w:right w:w="115" w:type="dxa"/>
            </w:tcMar>
            <w:vAlign w:val="center"/>
            <w:hideMark/>
          </w:tcPr>
          <w:p w14:paraId="09EEBCFB" w14:textId="18D5D245" w:rsidR="00A1673F" w:rsidRPr="000E0B43" w:rsidRDefault="00AF0F9B" w:rsidP="00AF0F9B">
            <w:pPr>
              <w:jc w:val="center"/>
              <w:rPr>
                <w:rFonts w:ascii="Times New Roman" w:hAnsi="Times New Roman" w:cs="Times New Roman"/>
                <w:b/>
                <w:bCs/>
                <w:color w:val="0F6CF2"/>
                <w:sz w:val="22"/>
                <w:szCs w:val="22"/>
              </w:rPr>
            </w:pPr>
            <w:r w:rsidRPr="000E0B43">
              <w:rPr>
                <w:b/>
                <w:bCs/>
                <w:color w:val="0F6CF2"/>
                <w:sz w:val="22"/>
                <w:szCs w:val="22"/>
              </w:rPr>
              <w:t>3</w:t>
            </w:r>
          </w:p>
        </w:tc>
        <w:tc>
          <w:tcPr>
            <w:tcW w:w="982" w:type="dxa"/>
            <w:shd w:val="clear" w:color="auto" w:fill="D5EBF9"/>
            <w:tcMar>
              <w:top w:w="115" w:type="dxa"/>
              <w:left w:w="115" w:type="dxa"/>
              <w:bottom w:w="115" w:type="dxa"/>
              <w:right w:w="115" w:type="dxa"/>
            </w:tcMar>
            <w:vAlign w:val="center"/>
            <w:hideMark/>
          </w:tcPr>
          <w:p w14:paraId="26D49265" w14:textId="1D1DD9F2" w:rsidR="00A1673F" w:rsidRPr="000E0B43" w:rsidRDefault="00AF0F9B" w:rsidP="00AF0F9B">
            <w:pPr>
              <w:jc w:val="center"/>
              <w:rPr>
                <w:sz w:val="22"/>
                <w:szCs w:val="22"/>
              </w:rPr>
            </w:pPr>
            <w:r w:rsidRPr="000E0B43">
              <w:rPr>
                <w:sz w:val="22"/>
                <w:szCs w:val="22"/>
              </w:rPr>
              <w:t>F</w:t>
            </w:r>
          </w:p>
        </w:tc>
        <w:tc>
          <w:tcPr>
            <w:tcW w:w="7327" w:type="dxa"/>
            <w:shd w:val="clear" w:color="auto" w:fill="D5EBF9"/>
            <w:tcMar>
              <w:top w:w="115" w:type="dxa"/>
              <w:left w:w="115" w:type="dxa"/>
              <w:bottom w:w="115" w:type="dxa"/>
              <w:right w:w="115" w:type="dxa"/>
            </w:tcMar>
            <w:vAlign w:val="center"/>
            <w:hideMark/>
          </w:tcPr>
          <w:p w14:paraId="440102C9" w14:textId="18AA23F0" w:rsidR="00A1673F" w:rsidRPr="000E0B43" w:rsidRDefault="00DA0DC8" w:rsidP="00BD6A8E">
            <w:pPr>
              <w:rPr>
                <w:sz w:val="22"/>
                <w:szCs w:val="22"/>
              </w:rPr>
            </w:pPr>
            <w:r w:rsidRPr="000E0B43">
              <w:rPr>
                <w:b/>
                <w:bCs/>
                <w:sz w:val="22"/>
                <w:szCs w:val="22"/>
              </w:rPr>
              <w:t>G</w:t>
            </w:r>
            <w:r w:rsidRPr="000E0B43">
              <w:rPr>
                <w:sz w:val="22"/>
                <w:szCs w:val="22"/>
              </w:rPr>
              <w:t xml:space="preserve"> incorrectly mixes "began" + gerunds with past tense verbs "beat" and "stuffed," creating inconsistent structure. </w:t>
            </w:r>
            <w:r w:rsidRPr="000E0B43">
              <w:rPr>
                <w:b/>
                <w:bCs/>
                <w:sz w:val="22"/>
                <w:szCs w:val="22"/>
              </w:rPr>
              <w:t>H</w:t>
            </w:r>
            <w:r w:rsidRPr="000E0B43">
              <w:rPr>
                <w:sz w:val="22"/>
                <w:szCs w:val="22"/>
              </w:rPr>
              <w:t xml:space="preserve"> uses an infinitive structure that would require changing "began" to maintain proper parallelism. </w:t>
            </w:r>
            <w:r w:rsidRPr="000E0B43">
              <w:rPr>
                <w:b/>
                <w:bCs/>
                <w:sz w:val="22"/>
                <w:szCs w:val="22"/>
              </w:rPr>
              <w:t>J</w:t>
            </w:r>
            <w:r w:rsidRPr="000E0B43">
              <w:rPr>
                <w:sz w:val="22"/>
                <w:szCs w:val="22"/>
              </w:rPr>
              <w:t xml:space="preserve"> shifts to simple past tense throughout, changing the meaning and losing the progressive aspect. </w:t>
            </w:r>
            <w:r w:rsidRPr="000E0B43">
              <w:rPr>
                <w:b/>
                <w:bCs/>
                <w:sz w:val="22"/>
                <w:szCs w:val="22"/>
              </w:rPr>
              <w:t>F</w:t>
            </w:r>
            <w:r w:rsidRPr="000E0B43">
              <w:rPr>
                <w:sz w:val="22"/>
                <w:szCs w:val="22"/>
              </w:rPr>
              <w:t xml:space="preserve"> is correct because it maintains parallel gerund structure with "tearing...beating...stuffing."</w:t>
            </w:r>
          </w:p>
        </w:tc>
      </w:tr>
      <w:tr w:rsidR="00AF0F9B" w:rsidRPr="00DC1CA0" w14:paraId="0614A59F" w14:textId="77777777" w:rsidTr="00AF0F9B">
        <w:tc>
          <w:tcPr>
            <w:tcW w:w="1136" w:type="dxa"/>
            <w:tcMar>
              <w:top w:w="115" w:type="dxa"/>
              <w:left w:w="115" w:type="dxa"/>
              <w:bottom w:w="115" w:type="dxa"/>
              <w:right w:w="115" w:type="dxa"/>
            </w:tcMar>
            <w:vAlign w:val="center"/>
          </w:tcPr>
          <w:p w14:paraId="762991C4" w14:textId="6B6336E3" w:rsidR="00AF0F9B" w:rsidRPr="000E0B43" w:rsidRDefault="00AF0F9B" w:rsidP="00AF0F9B">
            <w:pPr>
              <w:jc w:val="center"/>
              <w:rPr>
                <w:b/>
                <w:bCs/>
                <w:color w:val="0F6CF2"/>
                <w:sz w:val="22"/>
                <w:szCs w:val="22"/>
              </w:rPr>
            </w:pPr>
            <w:r w:rsidRPr="000E0B43">
              <w:rPr>
                <w:b/>
                <w:bCs/>
                <w:color w:val="0F6CF2"/>
                <w:sz w:val="22"/>
                <w:szCs w:val="22"/>
              </w:rPr>
              <w:t>4</w:t>
            </w:r>
          </w:p>
        </w:tc>
        <w:tc>
          <w:tcPr>
            <w:tcW w:w="982" w:type="dxa"/>
            <w:tcMar>
              <w:top w:w="115" w:type="dxa"/>
              <w:left w:w="115" w:type="dxa"/>
              <w:bottom w:w="115" w:type="dxa"/>
              <w:right w:w="115" w:type="dxa"/>
            </w:tcMar>
            <w:vAlign w:val="center"/>
          </w:tcPr>
          <w:p w14:paraId="33CA0776" w14:textId="141E25F2" w:rsidR="00AF0F9B" w:rsidRPr="000E0B43" w:rsidRDefault="00AB7991" w:rsidP="00AF0F9B">
            <w:pPr>
              <w:jc w:val="center"/>
              <w:rPr>
                <w:sz w:val="22"/>
                <w:szCs w:val="22"/>
              </w:rPr>
            </w:pPr>
            <w:r w:rsidRPr="000E0B43">
              <w:rPr>
                <w:sz w:val="22"/>
                <w:szCs w:val="22"/>
              </w:rPr>
              <w:t>B</w:t>
            </w:r>
          </w:p>
        </w:tc>
        <w:tc>
          <w:tcPr>
            <w:tcW w:w="7327" w:type="dxa"/>
            <w:tcMar>
              <w:top w:w="115" w:type="dxa"/>
              <w:left w:w="115" w:type="dxa"/>
              <w:bottom w:w="115" w:type="dxa"/>
              <w:right w:w="115" w:type="dxa"/>
            </w:tcMar>
            <w:vAlign w:val="center"/>
          </w:tcPr>
          <w:p w14:paraId="688D0C10" w14:textId="4C41C60A" w:rsidR="00AF0F9B" w:rsidRPr="000E0B43" w:rsidRDefault="00AB7991" w:rsidP="00BD6A8E">
            <w:pPr>
              <w:rPr>
                <w:sz w:val="22"/>
                <w:szCs w:val="22"/>
              </w:rPr>
            </w:pPr>
            <w:r w:rsidRPr="000E0B43">
              <w:rPr>
                <w:b/>
                <w:bCs/>
                <w:sz w:val="22"/>
                <w:szCs w:val="22"/>
              </w:rPr>
              <w:t>A</w:t>
            </w:r>
            <w:r w:rsidRPr="000E0B43">
              <w:rPr>
                <w:sz w:val="22"/>
                <w:szCs w:val="22"/>
              </w:rPr>
              <w:t xml:space="preserve"> incorrectly uses past perfect "had demanded" which suggests an action completed before another past action, but no such sequence exists here. </w:t>
            </w:r>
            <w:r w:rsidRPr="000E0B43">
              <w:rPr>
                <w:b/>
                <w:bCs/>
                <w:sz w:val="22"/>
                <w:szCs w:val="22"/>
              </w:rPr>
              <w:t>C</w:t>
            </w:r>
            <w:r w:rsidRPr="000E0B43">
              <w:rPr>
                <w:sz w:val="22"/>
                <w:szCs w:val="22"/>
              </w:rPr>
              <w:t xml:space="preserve"> incorrectly uses present perfect "have demanded" which suggests ongoing relevance to present time, and </w:t>
            </w:r>
            <w:r w:rsidRPr="000E0B43">
              <w:rPr>
                <w:b/>
                <w:bCs/>
                <w:sz w:val="22"/>
                <w:szCs w:val="22"/>
              </w:rPr>
              <w:t>D</w:t>
            </w:r>
            <w:r w:rsidRPr="000E0B43">
              <w:rPr>
                <w:sz w:val="22"/>
                <w:szCs w:val="22"/>
              </w:rPr>
              <w:t xml:space="preserve"> uses conditional "would demand" which doesn't fit the context of what actually happened. </w:t>
            </w:r>
            <w:r w:rsidRPr="000E0B43">
              <w:rPr>
                <w:b/>
                <w:bCs/>
                <w:sz w:val="22"/>
                <w:szCs w:val="22"/>
              </w:rPr>
              <w:t>B</w:t>
            </w:r>
            <w:r w:rsidRPr="000E0B43">
              <w:rPr>
                <w:sz w:val="22"/>
                <w:szCs w:val="22"/>
              </w:rPr>
              <w:t xml:space="preserve"> is correct because the simple past tense "demanded" is appropriate for describing what they wanted at that time.</w:t>
            </w:r>
          </w:p>
        </w:tc>
      </w:tr>
      <w:tr w:rsidR="00AF0F9B" w:rsidRPr="00DC1CA0" w14:paraId="05BF4E64" w14:textId="77777777" w:rsidTr="00AF0F9B">
        <w:tc>
          <w:tcPr>
            <w:tcW w:w="1136" w:type="dxa"/>
            <w:shd w:val="clear" w:color="auto" w:fill="D5EBF9"/>
            <w:tcMar>
              <w:top w:w="115" w:type="dxa"/>
              <w:left w:w="115" w:type="dxa"/>
              <w:bottom w:w="115" w:type="dxa"/>
              <w:right w:w="115" w:type="dxa"/>
            </w:tcMar>
            <w:vAlign w:val="center"/>
          </w:tcPr>
          <w:p w14:paraId="43B7771E" w14:textId="583D9FD2" w:rsidR="00AF0F9B" w:rsidRPr="000E0B43" w:rsidRDefault="00AF0F9B" w:rsidP="00AF0F9B">
            <w:pPr>
              <w:jc w:val="center"/>
              <w:rPr>
                <w:b/>
                <w:bCs/>
                <w:color w:val="0F6CF2"/>
                <w:sz w:val="22"/>
                <w:szCs w:val="22"/>
              </w:rPr>
            </w:pPr>
            <w:r w:rsidRPr="000E0B43">
              <w:rPr>
                <w:b/>
                <w:bCs/>
                <w:color w:val="0F6CF2"/>
                <w:sz w:val="22"/>
                <w:szCs w:val="22"/>
              </w:rPr>
              <w:t>5</w:t>
            </w:r>
          </w:p>
        </w:tc>
        <w:tc>
          <w:tcPr>
            <w:tcW w:w="982" w:type="dxa"/>
            <w:shd w:val="clear" w:color="auto" w:fill="D5EBF9"/>
            <w:tcMar>
              <w:top w:w="115" w:type="dxa"/>
              <w:left w:w="115" w:type="dxa"/>
              <w:bottom w:w="115" w:type="dxa"/>
              <w:right w:w="115" w:type="dxa"/>
            </w:tcMar>
            <w:vAlign w:val="center"/>
          </w:tcPr>
          <w:p w14:paraId="70618C2B" w14:textId="7DC9E1C2" w:rsidR="00AF0F9B" w:rsidRPr="000E0B43" w:rsidRDefault="007C7A84" w:rsidP="00AF0F9B">
            <w:pPr>
              <w:jc w:val="center"/>
              <w:rPr>
                <w:sz w:val="22"/>
                <w:szCs w:val="22"/>
              </w:rPr>
            </w:pPr>
            <w:r w:rsidRPr="000E0B43">
              <w:rPr>
                <w:sz w:val="22"/>
                <w:szCs w:val="22"/>
              </w:rPr>
              <w:t>G</w:t>
            </w:r>
          </w:p>
        </w:tc>
        <w:tc>
          <w:tcPr>
            <w:tcW w:w="7327" w:type="dxa"/>
            <w:shd w:val="clear" w:color="auto" w:fill="D5EBF9"/>
            <w:tcMar>
              <w:top w:w="115" w:type="dxa"/>
              <w:left w:w="115" w:type="dxa"/>
              <w:bottom w:w="115" w:type="dxa"/>
              <w:right w:w="115" w:type="dxa"/>
            </w:tcMar>
            <w:vAlign w:val="center"/>
          </w:tcPr>
          <w:p w14:paraId="694B3864" w14:textId="3F41B38A" w:rsidR="00AF0F9B" w:rsidRPr="000E0B43" w:rsidRDefault="007C7A84" w:rsidP="00BD6A8E">
            <w:pPr>
              <w:rPr>
                <w:sz w:val="22"/>
                <w:szCs w:val="22"/>
              </w:rPr>
            </w:pPr>
            <w:r w:rsidRPr="000E0B43">
              <w:rPr>
                <w:b/>
                <w:bCs/>
                <w:sz w:val="22"/>
                <w:szCs w:val="22"/>
              </w:rPr>
              <w:t>F</w:t>
            </w:r>
            <w:r w:rsidRPr="000E0B43">
              <w:rPr>
                <w:sz w:val="22"/>
                <w:szCs w:val="22"/>
              </w:rPr>
              <w:t xml:space="preserve"> incorrectly uses a colon which creates run-on sentence structure, </w:t>
            </w:r>
            <w:r w:rsidRPr="000E0B43">
              <w:rPr>
                <w:b/>
                <w:bCs/>
                <w:sz w:val="22"/>
                <w:szCs w:val="22"/>
              </w:rPr>
              <w:t>H</w:t>
            </w:r>
            <w:r w:rsidRPr="000E0B43">
              <w:rPr>
                <w:sz w:val="22"/>
                <w:szCs w:val="22"/>
              </w:rPr>
              <w:t xml:space="preserve"> improperly uses a semicolon for connecting a main clause with a descriptive phrase, and </w:t>
            </w:r>
            <w:r w:rsidRPr="000E0B43">
              <w:rPr>
                <w:b/>
                <w:bCs/>
                <w:sz w:val="22"/>
                <w:szCs w:val="22"/>
              </w:rPr>
              <w:t>J</w:t>
            </w:r>
            <w:r w:rsidRPr="000E0B43">
              <w:rPr>
                <w:sz w:val="22"/>
                <w:szCs w:val="22"/>
              </w:rPr>
              <w:t xml:space="preserve"> creates a sentence fragment with "Its massive body was relaxed, its trunk-guided meal undisturbed." </w:t>
            </w:r>
            <w:r w:rsidRPr="000E0B43">
              <w:rPr>
                <w:b/>
                <w:bCs/>
                <w:sz w:val="22"/>
                <w:szCs w:val="22"/>
              </w:rPr>
              <w:t>G</w:t>
            </w:r>
            <w:r w:rsidRPr="000E0B43">
              <w:rPr>
                <w:sz w:val="22"/>
                <w:szCs w:val="22"/>
              </w:rPr>
              <w:t xml:space="preserve"> is correct because the comma properly connects the descriptive phrase and maintains sentence flow.</w:t>
            </w:r>
          </w:p>
        </w:tc>
      </w:tr>
      <w:tr w:rsidR="00AF0F9B" w:rsidRPr="00DC1CA0" w14:paraId="46C7FA24" w14:textId="77777777" w:rsidTr="00AF0F9B">
        <w:tc>
          <w:tcPr>
            <w:tcW w:w="1136" w:type="dxa"/>
            <w:tcMar>
              <w:top w:w="115" w:type="dxa"/>
              <w:left w:w="115" w:type="dxa"/>
              <w:bottom w:w="115" w:type="dxa"/>
              <w:right w:w="115" w:type="dxa"/>
            </w:tcMar>
            <w:vAlign w:val="center"/>
          </w:tcPr>
          <w:p w14:paraId="42060D79" w14:textId="4F2910C8" w:rsidR="00AF0F9B" w:rsidRPr="000E0B43" w:rsidRDefault="00AF0F9B" w:rsidP="00AF0F9B">
            <w:pPr>
              <w:jc w:val="center"/>
              <w:rPr>
                <w:b/>
                <w:bCs/>
                <w:color w:val="0F6CF2"/>
                <w:sz w:val="22"/>
                <w:szCs w:val="22"/>
              </w:rPr>
            </w:pPr>
            <w:r w:rsidRPr="000E0B43">
              <w:rPr>
                <w:b/>
                <w:bCs/>
                <w:color w:val="0F6CF2"/>
                <w:sz w:val="22"/>
                <w:szCs w:val="22"/>
              </w:rPr>
              <w:lastRenderedPageBreak/>
              <w:t>6</w:t>
            </w:r>
          </w:p>
        </w:tc>
        <w:tc>
          <w:tcPr>
            <w:tcW w:w="982" w:type="dxa"/>
            <w:tcMar>
              <w:top w:w="115" w:type="dxa"/>
              <w:left w:w="115" w:type="dxa"/>
              <w:bottom w:w="115" w:type="dxa"/>
              <w:right w:w="115" w:type="dxa"/>
            </w:tcMar>
            <w:vAlign w:val="center"/>
          </w:tcPr>
          <w:p w14:paraId="7D3FB40B" w14:textId="3F718778" w:rsidR="00AF0F9B" w:rsidRPr="000E0B43" w:rsidRDefault="00FE5DEC" w:rsidP="00AF0F9B">
            <w:pPr>
              <w:jc w:val="center"/>
              <w:rPr>
                <w:sz w:val="22"/>
                <w:szCs w:val="22"/>
              </w:rPr>
            </w:pPr>
            <w:r w:rsidRPr="000E0B43">
              <w:rPr>
                <w:sz w:val="22"/>
                <w:szCs w:val="22"/>
              </w:rPr>
              <w:t>B</w:t>
            </w:r>
          </w:p>
        </w:tc>
        <w:tc>
          <w:tcPr>
            <w:tcW w:w="7327" w:type="dxa"/>
            <w:tcMar>
              <w:top w:w="115" w:type="dxa"/>
              <w:left w:w="115" w:type="dxa"/>
              <w:bottom w:w="115" w:type="dxa"/>
              <w:right w:w="115" w:type="dxa"/>
            </w:tcMar>
            <w:vAlign w:val="center"/>
          </w:tcPr>
          <w:p w14:paraId="0FEB0914" w14:textId="160F3388" w:rsidR="00AF0F9B" w:rsidRPr="000E0B43" w:rsidRDefault="00FE5DEC" w:rsidP="00BD6A8E">
            <w:pPr>
              <w:rPr>
                <w:sz w:val="22"/>
                <w:szCs w:val="22"/>
              </w:rPr>
            </w:pPr>
            <w:r w:rsidRPr="000E0B43">
              <w:rPr>
                <w:b/>
                <w:bCs/>
                <w:sz w:val="22"/>
                <w:szCs w:val="22"/>
              </w:rPr>
              <w:t>A</w:t>
            </w:r>
            <w:r w:rsidRPr="000E0B43">
              <w:rPr>
                <w:sz w:val="22"/>
                <w:szCs w:val="22"/>
              </w:rPr>
              <w:t xml:space="preserve"> incorrectly uses "more heavy" with the adjective form when the adverb "heavily" is needed to modify the verb "weighed." </w:t>
            </w:r>
            <w:r w:rsidRPr="000E0B43">
              <w:rPr>
                <w:b/>
                <w:bCs/>
                <w:sz w:val="22"/>
                <w:szCs w:val="22"/>
              </w:rPr>
              <w:t>C</w:t>
            </w:r>
            <w:r w:rsidRPr="000E0B43">
              <w:rPr>
                <w:sz w:val="22"/>
                <w:szCs w:val="22"/>
              </w:rPr>
              <w:t xml:space="preserve"> uses "heavier" which is a comparative adjective when an adverb is needed to modify the verb, and </w:t>
            </w:r>
            <w:r w:rsidRPr="000E0B43">
              <w:rPr>
                <w:b/>
                <w:bCs/>
                <w:sz w:val="22"/>
                <w:szCs w:val="22"/>
              </w:rPr>
              <w:t>D</w:t>
            </w:r>
            <w:r w:rsidRPr="000E0B43">
              <w:rPr>
                <w:sz w:val="22"/>
                <w:szCs w:val="22"/>
              </w:rPr>
              <w:t xml:space="preserve"> uses "most heavily" which is a superlative form but the context requires comparative for comparing two things. </w:t>
            </w:r>
            <w:r w:rsidRPr="000E0B43">
              <w:rPr>
                <w:b/>
                <w:bCs/>
                <w:sz w:val="22"/>
                <w:szCs w:val="22"/>
              </w:rPr>
              <w:t>B</w:t>
            </w:r>
            <w:r w:rsidRPr="000E0B43">
              <w:rPr>
                <w:sz w:val="22"/>
                <w:szCs w:val="22"/>
              </w:rPr>
              <w:t xml:space="preserve"> is correct because "more heavily" is the proper comparative adverb form modifying the verb "weighed."</w:t>
            </w:r>
          </w:p>
        </w:tc>
      </w:tr>
      <w:tr w:rsidR="00AF0F9B" w:rsidRPr="00DC1CA0" w14:paraId="055CAEB5" w14:textId="77777777" w:rsidTr="00AF0F9B">
        <w:tc>
          <w:tcPr>
            <w:tcW w:w="1136" w:type="dxa"/>
            <w:shd w:val="clear" w:color="auto" w:fill="D5EBF9"/>
            <w:tcMar>
              <w:top w:w="115" w:type="dxa"/>
              <w:left w:w="115" w:type="dxa"/>
              <w:bottom w:w="115" w:type="dxa"/>
              <w:right w:w="115" w:type="dxa"/>
            </w:tcMar>
            <w:vAlign w:val="center"/>
          </w:tcPr>
          <w:p w14:paraId="591DFA16" w14:textId="7575AC28" w:rsidR="00AF0F9B" w:rsidRPr="000E0B43" w:rsidRDefault="00AF0F9B" w:rsidP="00AF0F9B">
            <w:pPr>
              <w:jc w:val="center"/>
              <w:rPr>
                <w:b/>
                <w:bCs/>
                <w:color w:val="0F6CF2"/>
                <w:sz w:val="22"/>
                <w:szCs w:val="22"/>
              </w:rPr>
            </w:pPr>
            <w:r w:rsidRPr="000E0B43">
              <w:rPr>
                <w:b/>
                <w:bCs/>
                <w:color w:val="0F6CF2"/>
                <w:sz w:val="22"/>
                <w:szCs w:val="22"/>
              </w:rPr>
              <w:t>7</w:t>
            </w:r>
          </w:p>
        </w:tc>
        <w:tc>
          <w:tcPr>
            <w:tcW w:w="982" w:type="dxa"/>
            <w:shd w:val="clear" w:color="auto" w:fill="D5EBF9"/>
            <w:tcMar>
              <w:top w:w="115" w:type="dxa"/>
              <w:left w:w="115" w:type="dxa"/>
              <w:bottom w:w="115" w:type="dxa"/>
              <w:right w:w="115" w:type="dxa"/>
            </w:tcMar>
            <w:vAlign w:val="center"/>
          </w:tcPr>
          <w:p w14:paraId="6E10011F" w14:textId="1DA57E14" w:rsidR="00AF0F9B" w:rsidRPr="000E0B43" w:rsidRDefault="00AF0F9B" w:rsidP="00AF0F9B">
            <w:pPr>
              <w:jc w:val="center"/>
              <w:rPr>
                <w:sz w:val="22"/>
                <w:szCs w:val="22"/>
              </w:rPr>
            </w:pPr>
            <w:r w:rsidRPr="000E0B43">
              <w:rPr>
                <w:sz w:val="22"/>
                <w:szCs w:val="22"/>
              </w:rPr>
              <w:t>B</w:t>
            </w:r>
          </w:p>
        </w:tc>
        <w:tc>
          <w:tcPr>
            <w:tcW w:w="7327" w:type="dxa"/>
            <w:shd w:val="clear" w:color="auto" w:fill="D5EBF9"/>
            <w:tcMar>
              <w:top w:w="115" w:type="dxa"/>
              <w:left w:w="115" w:type="dxa"/>
              <w:bottom w:w="115" w:type="dxa"/>
              <w:right w:w="115" w:type="dxa"/>
            </w:tcMar>
            <w:vAlign w:val="center"/>
          </w:tcPr>
          <w:p w14:paraId="7707E803" w14:textId="70E27DFC" w:rsidR="00AF0F9B" w:rsidRPr="000E0B43" w:rsidRDefault="00AF0F9B" w:rsidP="00BD6A8E">
            <w:pPr>
              <w:rPr>
                <w:sz w:val="22"/>
                <w:szCs w:val="22"/>
              </w:rPr>
            </w:pPr>
            <w:r w:rsidRPr="000E0B43">
              <w:rPr>
                <w:rFonts w:ascii="Calibri" w:hAnsi="Calibri" w:cs="Calibri"/>
                <w:sz w:val="22"/>
                <w:szCs w:val="22"/>
              </w:rPr>
              <w:t xml:space="preserve">This choice best maintains the essay’s tone. The writer has consistently used dashes throughout the passage to set off descriptive interruptions. The dashes preserve the reflective, dramatic tone by giving emphasis to the image of walking away. The commas do not fit the passage’s style, so choice </w:t>
            </w:r>
            <w:r w:rsidRPr="000E0B43">
              <w:rPr>
                <w:rFonts w:ascii="Calibri" w:hAnsi="Calibri" w:cs="Calibri"/>
                <w:b/>
                <w:bCs/>
                <w:sz w:val="22"/>
                <w:szCs w:val="22"/>
              </w:rPr>
              <w:t>A</w:t>
            </w:r>
            <w:r w:rsidRPr="000E0B43">
              <w:rPr>
                <w:rFonts w:ascii="Calibri" w:hAnsi="Calibri" w:cs="Calibri"/>
                <w:sz w:val="22"/>
                <w:szCs w:val="22"/>
              </w:rPr>
              <w:t xml:space="preserve"> is incorrect. While grammatically acceptable, commas make the phrase feel less dramatic and would weaken the essay’s reflective tone. </w:t>
            </w:r>
            <w:r w:rsidRPr="000E0B43">
              <w:rPr>
                <w:rFonts w:ascii="Calibri" w:hAnsi="Calibri" w:cs="Calibri"/>
                <w:b/>
                <w:bCs/>
                <w:sz w:val="22"/>
                <w:szCs w:val="22"/>
              </w:rPr>
              <w:t xml:space="preserve">C </w:t>
            </w:r>
            <w:r w:rsidRPr="000E0B43">
              <w:rPr>
                <w:rFonts w:ascii="Calibri" w:hAnsi="Calibri" w:cs="Calibri"/>
                <w:sz w:val="22"/>
                <w:szCs w:val="22"/>
              </w:rPr>
              <w:t xml:space="preserve">is incorrect because the semicolon is incorrect here because what follows is not an independent clause. This choice would break the grammar as well as the tone. </w:t>
            </w:r>
            <w:r w:rsidRPr="000E0B43">
              <w:rPr>
                <w:rFonts w:ascii="Calibri" w:hAnsi="Calibri" w:cs="Calibri"/>
                <w:b/>
                <w:bCs/>
                <w:sz w:val="22"/>
                <w:szCs w:val="22"/>
              </w:rPr>
              <w:t xml:space="preserve">D </w:t>
            </w:r>
            <w:r w:rsidRPr="000E0B43">
              <w:rPr>
                <w:rFonts w:ascii="Calibri" w:hAnsi="Calibri" w:cs="Calibri"/>
                <w:sz w:val="22"/>
                <w:szCs w:val="22"/>
              </w:rPr>
              <w:t>is incorrect as this version starts with a dash but ends with a comma, creating an imbalance. The essay consistently uses matching dashes to enclose such interruptions, so this option does not maintain the established style.</w:t>
            </w:r>
          </w:p>
        </w:tc>
      </w:tr>
      <w:tr w:rsidR="00AF0F9B" w:rsidRPr="00DC1CA0" w14:paraId="49A2F4A2" w14:textId="77777777" w:rsidTr="00AF0F9B">
        <w:tc>
          <w:tcPr>
            <w:tcW w:w="1136" w:type="dxa"/>
            <w:tcMar>
              <w:top w:w="115" w:type="dxa"/>
              <w:left w:w="115" w:type="dxa"/>
              <w:bottom w:w="115" w:type="dxa"/>
              <w:right w:w="115" w:type="dxa"/>
            </w:tcMar>
            <w:vAlign w:val="center"/>
          </w:tcPr>
          <w:p w14:paraId="11035E25" w14:textId="3E5A8320" w:rsidR="00AF0F9B" w:rsidRPr="000E0B43" w:rsidRDefault="00AF0F9B" w:rsidP="00AF0F9B">
            <w:pPr>
              <w:jc w:val="center"/>
              <w:rPr>
                <w:b/>
                <w:bCs/>
                <w:color w:val="0F6CF2"/>
                <w:sz w:val="22"/>
                <w:szCs w:val="22"/>
              </w:rPr>
            </w:pPr>
            <w:r w:rsidRPr="000E0B43">
              <w:rPr>
                <w:b/>
                <w:bCs/>
                <w:color w:val="0F6CF2"/>
                <w:sz w:val="22"/>
                <w:szCs w:val="22"/>
              </w:rPr>
              <w:t>8</w:t>
            </w:r>
          </w:p>
        </w:tc>
        <w:tc>
          <w:tcPr>
            <w:tcW w:w="982" w:type="dxa"/>
            <w:tcMar>
              <w:top w:w="115" w:type="dxa"/>
              <w:left w:w="115" w:type="dxa"/>
              <w:bottom w:w="115" w:type="dxa"/>
              <w:right w:w="115" w:type="dxa"/>
            </w:tcMar>
            <w:vAlign w:val="center"/>
          </w:tcPr>
          <w:p w14:paraId="493F5C86" w14:textId="5EF4F9B8" w:rsidR="00AF0F9B" w:rsidRPr="000E0B43" w:rsidRDefault="00EE37B2" w:rsidP="00AF0F9B">
            <w:pPr>
              <w:jc w:val="center"/>
              <w:rPr>
                <w:sz w:val="22"/>
                <w:szCs w:val="22"/>
              </w:rPr>
            </w:pPr>
            <w:r w:rsidRPr="000E0B43">
              <w:rPr>
                <w:sz w:val="22"/>
                <w:szCs w:val="22"/>
              </w:rPr>
              <w:t>F</w:t>
            </w:r>
          </w:p>
        </w:tc>
        <w:tc>
          <w:tcPr>
            <w:tcW w:w="7327" w:type="dxa"/>
            <w:tcMar>
              <w:top w:w="115" w:type="dxa"/>
              <w:left w:w="115" w:type="dxa"/>
              <w:bottom w:w="115" w:type="dxa"/>
              <w:right w:w="115" w:type="dxa"/>
            </w:tcMar>
            <w:vAlign w:val="center"/>
          </w:tcPr>
          <w:p w14:paraId="1ECD6B88" w14:textId="1E5CAE21" w:rsidR="00AF0F9B" w:rsidRPr="000E0B43" w:rsidRDefault="00940F07" w:rsidP="00D621F2">
            <w:pPr>
              <w:rPr>
                <w:sz w:val="22"/>
                <w:szCs w:val="22"/>
              </w:rPr>
            </w:pPr>
            <w:r w:rsidRPr="000E0B43">
              <w:rPr>
                <w:b/>
                <w:bCs/>
                <w:sz w:val="22"/>
                <w:szCs w:val="22"/>
              </w:rPr>
              <w:t>G</w:t>
            </w:r>
            <w:r w:rsidR="00D621F2" w:rsidRPr="00D621F2">
              <w:rPr>
                <w:sz w:val="22"/>
                <w:szCs w:val="22"/>
              </w:rPr>
              <w:t xml:space="preserve"> incorrectly uses "appearances sake" which lacks the apostrophe for possession. </w:t>
            </w:r>
            <w:r w:rsidR="00D621F2" w:rsidRPr="00D621F2">
              <w:rPr>
                <w:b/>
                <w:bCs/>
                <w:sz w:val="22"/>
                <w:szCs w:val="22"/>
              </w:rPr>
              <w:t>H</w:t>
            </w:r>
            <w:r w:rsidR="00D621F2" w:rsidRPr="00D621F2">
              <w:rPr>
                <w:sz w:val="22"/>
                <w:szCs w:val="22"/>
              </w:rPr>
              <w:t xml:space="preserve"> treats "appearances" as plural with "appearances' sake," but the idiom uses singular "appearance," and </w:t>
            </w:r>
            <w:r w:rsidR="00D621F2" w:rsidRPr="00D621F2">
              <w:rPr>
                <w:b/>
                <w:bCs/>
                <w:sz w:val="22"/>
                <w:szCs w:val="22"/>
              </w:rPr>
              <w:t>J</w:t>
            </w:r>
            <w:r w:rsidR="00D621F2" w:rsidRPr="00D621F2">
              <w:rPr>
                <w:sz w:val="22"/>
                <w:szCs w:val="22"/>
              </w:rPr>
              <w:t xml:space="preserve"> uses "appearance sake" which lacks the possessive apostrophe entirely. </w:t>
            </w:r>
            <w:r w:rsidRPr="000E0B43">
              <w:rPr>
                <w:b/>
                <w:bCs/>
                <w:sz w:val="22"/>
                <w:szCs w:val="22"/>
              </w:rPr>
              <w:t>F</w:t>
            </w:r>
            <w:r w:rsidR="00D621F2" w:rsidRPr="00D621F2">
              <w:rPr>
                <w:sz w:val="22"/>
                <w:szCs w:val="22"/>
              </w:rPr>
              <w:t xml:space="preserve"> is correct because "appearance's sake" shows the proper possessive form of the singular noun.</w:t>
            </w:r>
          </w:p>
        </w:tc>
      </w:tr>
      <w:tr w:rsidR="00AF0F9B" w:rsidRPr="00DC1CA0" w14:paraId="3F2DAE2D" w14:textId="77777777" w:rsidTr="00AF0F9B">
        <w:tc>
          <w:tcPr>
            <w:tcW w:w="1136" w:type="dxa"/>
            <w:shd w:val="clear" w:color="auto" w:fill="D5EBF9"/>
            <w:tcMar>
              <w:top w:w="115" w:type="dxa"/>
              <w:left w:w="115" w:type="dxa"/>
              <w:bottom w:w="115" w:type="dxa"/>
              <w:right w:w="115" w:type="dxa"/>
            </w:tcMar>
            <w:vAlign w:val="center"/>
          </w:tcPr>
          <w:p w14:paraId="2E05C1E6" w14:textId="3165418F" w:rsidR="00AF0F9B" w:rsidRPr="000E0B43" w:rsidRDefault="00AF0F9B" w:rsidP="00AF0F9B">
            <w:pPr>
              <w:jc w:val="center"/>
              <w:rPr>
                <w:b/>
                <w:bCs/>
                <w:color w:val="0F6CF2"/>
                <w:sz w:val="22"/>
                <w:szCs w:val="22"/>
              </w:rPr>
            </w:pPr>
            <w:r w:rsidRPr="000E0B43">
              <w:rPr>
                <w:b/>
                <w:bCs/>
                <w:color w:val="0F6CF2"/>
                <w:sz w:val="22"/>
                <w:szCs w:val="22"/>
              </w:rPr>
              <w:t>9</w:t>
            </w:r>
          </w:p>
        </w:tc>
        <w:tc>
          <w:tcPr>
            <w:tcW w:w="982" w:type="dxa"/>
            <w:shd w:val="clear" w:color="auto" w:fill="D5EBF9"/>
            <w:tcMar>
              <w:top w:w="115" w:type="dxa"/>
              <w:left w:w="115" w:type="dxa"/>
              <w:bottom w:w="115" w:type="dxa"/>
              <w:right w:w="115" w:type="dxa"/>
            </w:tcMar>
            <w:vAlign w:val="center"/>
          </w:tcPr>
          <w:p w14:paraId="2DEC524C" w14:textId="3C9AA668" w:rsidR="00AF0F9B" w:rsidRPr="000E0B43" w:rsidRDefault="00AF0F9B" w:rsidP="00AF0F9B">
            <w:pPr>
              <w:jc w:val="center"/>
              <w:rPr>
                <w:sz w:val="22"/>
                <w:szCs w:val="22"/>
              </w:rPr>
            </w:pPr>
            <w:r w:rsidRPr="000E0B43">
              <w:rPr>
                <w:sz w:val="22"/>
                <w:szCs w:val="22"/>
              </w:rPr>
              <w:t>C</w:t>
            </w:r>
          </w:p>
        </w:tc>
        <w:tc>
          <w:tcPr>
            <w:tcW w:w="7327" w:type="dxa"/>
            <w:shd w:val="clear" w:color="auto" w:fill="D5EBF9"/>
            <w:tcMar>
              <w:top w:w="115" w:type="dxa"/>
              <w:left w:w="115" w:type="dxa"/>
              <w:bottom w:w="115" w:type="dxa"/>
              <w:right w:w="115" w:type="dxa"/>
            </w:tcMar>
            <w:vAlign w:val="center"/>
          </w:tcPr>
          <w:p w14:paraId="5E1DFADC" w14:textId="6F281D6F" w:rsidR="00AF0F9B" w:rsidRPr="000E0B43" w:rsidRDefault="00AF0F9B" w:rsidP="00BD6A8E">
            <w:pPr>
              <w:rPr>
                <w:sz w:val="22"/>
                <w:szCs w:val="22"/>
              </w:rPr>
            </w:pPr>
            <w:r w:rsidRPr="000E0B43">
              <w:rPr>
                <w:rFonts w:ascii="Calibri" w:hAnsi="Calibri" w:cs="Calibri"/>
                <w:sz w:val="22"/>
                <w:szCs w:val="22"/>
              </w:rPr>
              <w:t xml:space="preserve">The correct answer is </w:t>
            </w:r>
            <w:r w:rsidRPr="000E0B43">
              <w:rPr>
                <w:rFonts w:ascii="Calibri" w:hAnsi="Calibri" w:cs="Calibri"/>
                <w:b/>
                <w:bCs/>
                <w:sz w:val="22"/>
                <w:szCs w:val="22"/>
              </w:rPr>
              <w:t>C</w:t>
            </w:r>
            <w:r w:rsidRPr="000E0B43">
              <w:rPr>
                <w:rFonts w:ascii="Calibri" w:hAnsi="Calibri" w:cs="Calibri"/>
                <w:sz w:val="22"/>
                <w:szCs w:val="22"/>
              </w:rPr>
              <w:t xml:space="preserve"> because it emphasizes the crowd's expectations and the narrator's fear</w:t>
            </w:r>
            <w:r w:rsidR="001E1EA3">
              <w:rPr>
                <w:rFonts w:ascii="Calibri" w:hAnsi="Calibri" w:cs="Calibri"/>
                <w:sz w:val="22"/>
                <w:szCs w:val="22"/>
              </w:rPr>
              <w:t xml:space="preserve"> of</w:t>
            </w:r>
            <w:r w:rsidRPr="000E0B43">
              <w:rPr>
                <w:rFonts w:ascii="Calibri" w:hAnsi="Calibri" w:cs="Calibri"/>
                <w:sz w:val="22"/>
                <w:szCs w:val="22"/>
              </w:rPr>
              <w:t xml:space="preserve"> their view of him showing a "sign of weakness</w:t>
            </w:r>
            <w:r w:rsidR="001E1EA3">
              <w:rPr>
                <w:rFonts w:ascii="Calibri" w:hAnsi="Calibri" w:cs="Calibri"/>
                <w:sz w:val="22"/>
                <w:szCs w:val="22"/>
              </w:rPr>
              <w:t>.</w:t>
            </w:r>
            <w:r w:rsidRPr="000E0B43">
              <w:rPr>
                <w:rFonts w:ascii="Calibri" w:hAnsi="Calibri" w:cs="Calibri"/>
                <w:sz w:val="22"/>
                <w:szCs w:val="22"/>
              </w:rPr>
              <w:t xml:space="preserve">" The crowd's invited derision and imagined criticism strengthens the idea that their judgement forced his actions. </w:t>
            </w:r>
            <w:r w:rsidRPr="000E0B43">
              <w:rPr>
                <w:rFonts w:ascii="Calibri" w:hAnsi="Calibri" w:cs="Calibri"/>
                <w:b/>
                <w:bCs/>
                <w:sz w:val="22"/>
                <w:szCs w:val="22"/>
              </w:rPr>
              <w:t xml:space="preserve">A. </w:t>
            </w:r>
            <w:r w:rsidRPr="000E0B43">
              <w:rPr>
                <w:rFonts w:ascii="Calibri" w:hAnsi="Calibri" w:cs="Calibri"/>
                <w:sz w:val="22"/>
                <w:szCs w:val="22"/>
              </w:rPr>
              <w:t xml:space="preserve">This does not fit well because Paragraph 1 focuses on the narrator’s hesitation and inner conflict, not yet on the crowd’s direct judgment of him. </w:t>
            </w:r>
            <w:r w:rsidRPr="000E0B43">
              <w:rPr>
                <w:rFonts w:ascii="Calibri" w:hAnsi="Calibri" w:cs="Calibri"/>
                <w:b/>
                <w:bCs/>
                <w:sz w:val="22"/>
                <w:szCs w:val="22"/>
              </w:rPr>
              <w:t xml:space="preserve">B. </w:t>
            </w:r>
            <w:r w:rsidRPr="000E0B43">
              <w:rPr>
                <w:rFonts w:ascii="Calibri" w:hAnsi="Calibri" w:cs="Calibri"/>
                <w:sz w:val="22"/>
                <w:szCs w:val="22"/>
              </w:rPr>
              <w:t xml:space="preserve">This point comes too early. Paragraph 3 is about the narrator’s realization of imperialism’s larger effects, not about the crowd’s specific accusations. </w:t>
            </w:r>
            <w:r w:rsidRPr="000E0B43">
              <w:rPr>
                <w:rFonts w:ascii="Calibri" w:hAnsi="Calibri" w:cs="Calibri"/>
                <w:b/>
                <w:bCs/>
                <w:sz w:val="22"/>
                <w:szCs w:val="22"/>
              </w:rPr>
              <w:t xml:space="preserve">D. </w:t>
            </w:r>
            <w:r w:rsidRPr="000E0B43">
              <w:rPr>
                <w:rFonts w:ascii="Calibri" w:hAnsi="Calibri" w:cs="Calibri"/>
                <w:sz w:val="22"/>
                <w:szCs w:val="22"/>
              </w:rPr>
              <w:t xml:space="preserve">This placement would be illogical. By Paragraph 6, the elephant has already been </w:t>
            </w:r>
            <w:r w:rsidR="001E1EA3" w:rsidRPr="000E0B43">
              <w:rPr>
                <w:rFonts w:ascii="Calibri" w:hAnsi="Calibri" w:cs="Calibri"/>
                <w:sz w:val="22"/>
                <w:szCs w:val="22"/>
              </w:rPr>
              <w:t>shot,</w:t>
            </w:r>
            <w:r w:rsidRPr="000E0B43">
              <w:rPr>
                <w:rFonts w:ascii="Calibri" w:hAnsi="Calibri" w:cs="Calibri"/>
                <w:sz w:val="22"/>
                <w:szCs w:val="22"/>
              </w:rPr>
              <w:t xml:space="preserve"> and the narrator is reflecting privately, away from the crowd. Adding the crowd’s judgment here would break the flow of reflection.</w:t>
            </w:r>
          </w:p>
        </w:tc>
      </w:tr>
      <w:tr w:rsidR="00AF0F9B" w:rsidRPr="00DC1CA0" w14:paraId="310A18B9" w14:textId="77777777" w:rsidTr="00AF0F9B">
        <w:tc>
          <w:tcPr>
            <w:tcW w:w="1136" w:type="dxa"/>
            <w:tcMar>
              <w:top w:w="115" w:type="dxa"/>
              <w:left w:w="115" w:type="dxa"/>
              <w:bottom w:w="115" w:type="dxa"/>
              <w:right w:w="115" w:type="dxa"/>
            </w:tcMar>
            <w:vAlign w:val="center"/>
          </w:tcPr>
          <w:p w14:paraId="4CAF6630" w14:textId="167201E0" w:rsidR="00AF0F9B" w:rsidRPr="000E0B43" w:rsidRDefault="00AF0F9B" w:rsidP="00AF0F9B">
            <w:pPr>
              <w:jc w:val="center"/>
              <w:rPr>
                <w:b/>
                <w:bCs/>
                <w:color w:val="0F6CF2"/>
                <w:sz w:val="22"/>
                <w:szCs w:val="22"/>
              </w:rPr>
            </w:pPr>
            <w:r w:rsidRPr="000E0B43">
              <w:rPr>
                <w:b/>
                <w:bCs/>
                <w:color w:val="0F6CF2"/>
                <w:sz w:val="22"/>
                <w:szCs w:val="22"/>
              </w:rPr>
              <w:lastRenderedPageBreak/>
              <w:t>10</w:t>
            </w:r>
          </w:p>
        </w:tc>
        <w:tc>
          <w:tcPr>
            <w:tcW w:w="982" w:type="dxa"/>
            <w:tcMar>
              <w:top w:w="115" w:type="dxa"/>
              <w:left w:w="115" w:type="dxa"/>
              <w:bottom w:w="115" w:type="dxa"/>
              <w:right w:w="115" w:type="dxa"/>
            </w:tcMar>
            <w:vAlign w:val="center"/>
          </w:tcPr>
          <w:p w14:paraId="7FF026E9" w14:textId="53F8A5AE" w:rsidR="00AF0F9B" w:rsidRPr="000E0B43" w:rsidRDefault="00AF0F9B" w:rsidP="00AF0F9B">
            <w:pPr>
              <w:jc w:val="center"/>
              <w:rPr>
                <w:sz w:val="22"/>
                <w:szCs w:val="22"/>
              </w:rPr>
            </w:pPr>
            <w:r w:rsidRPr="000E0B43">
              <w:rPr>
                <w:sz w:val="22"/>
                <w:szCs w:val="22"/>
              </w:rPr>
              <w:t>D</w:t>
            </w:r>
          </w:p>
        </w:tc>
        <w:tc>
          <w:tcPr>
            <w:tcW w:w="7327" w:type="dxa"/>
            <w:tcMar>
              <w:top w:w="115" w:type="dxa"/>
              <w:left w:w="115" w:type="dxa"/>
              <w:bottom w:w="115" w:type="dxa"/>
              <w:right w:w="115" w:type="dxa"/>
            </w:tcMar>
            <w:vAlign w:val="center"/>
          </w:tcPr>
          <w:p w14:paraId="3B11B2EE" w14:textId="0D5CACA5" w:rsidR="00AF0F9B" w:rsidRPr="000E0B43" w:rsidRDefault="00AF0F9B" w:rsidP="00BD6A8E">
            <w:pPr>
              <w:rPr>
                <w:sz w:val="22"/>
                <w:szCs w:val="22"/>
              </w:rPr>
            </w:pPr>
            <w:r w:rsidRPr="000E0B43">
              <w:rPr>
                <w:rFonts w:ascii="Calibri" w:hAnsi="Calibri" w:cs="Calibri"/>
                <w:sz w:val="22"/>
                <w:szCs w:val="22"/>
              </w:rPr>
              <w:t xml:space="preserve">The essay focuses almost entirely on the narrator’s internal conflict—the struggle between his conscience and the expectations of the crowd. Instead of highlighting benefits of imperialism, the essay shows how it forced him into an act of betrayal against his own judgment. This focus makes it clear that the purpose of the essay is not to praise imperialism but to reveal its moral and psychological costs. </w:t>
            </w:r>
            <w:r w:rsidRPr="000E0B43">
              <w:rPr>
                <w:rFonts w:ascii="Calibri" w:hAnsi="Calibri" w:cs="Calibri"/>
                <w:b/>
                <w:bCs/>
                <w:sz w:val="22"/>
                <w:szCs w:val="22"/>
              </w:rPr>
              <w:t xml:space="preserve">A </w:t>
            </w:r>
            <w:r w:rsidRPr="000E0B43">
              <w:rPr>
                <w:rFonts w:ascii="Calibri" w:hAnsi="Calibri" w:cs="Calibri"/>
                <w:sz w:val="22"/>
                <w:szCs w:val="22"/>
              </w:rPr>
              <w:t>is inaccurate</w:t>
            </w:r>
            <w:r w:rsidRPr="000E0B43">
              <w:rPr>
                <w:rFonts w:ascii="Calibri" w:hAnsi="Calibri" w:cs="Calibri"/>
                <w:b/>
                <w:bCs/>
                <w:sz w:val="22"/>
                <w:szCs w:val="22"/>
              </w:rPr>
              <w:t xml:space="preserve"> </w:t>
            </w:r>
            <w:r w:rsidRPr="000E0B43">
              <w:rPr>
                <w:rFonts w:ascii="Calibri" w:hAnsi="Calibri" w:cs="Calibri"/>
                <w:sz w:val="22"/>
                <w:szCs w:val="22"/>
              </w:rPr>
              <w:t xml:space="preserve">because while the narrator appears to “strengthen authority” by shooting the elephant, the essay makes clear that this was an </w:t>
            </w:r>
            <w:r w:rsidRPr="000E0B43">
              <w:rPr>
                <w:rFonts w:ascii="Calibri" w:hAnsi="Calibri" w:cs="Calibri"/>
                <w:i/>
                <w:iCs/>
                <w:sz w:val="22"/>
                <w:szCs w:val="22"/>
              </w:rPr>
              <w:t>illusion of power</w:t>
            </w:r>
            <w:r w:rsidRPr="000E0B43">
              <w:rPr>
                <w:rFonts w:ascii="Calibri" w:hAnsi="Calibri" w:cs="Calibri"/>
                <w:sz w:val="22"/>
                <w:szCs w:val="22"/>
              </w:rPr>
              <w:t xml:space="preserve">. The narrator himself says he acted only because the crowd demanded it, not because imperialism truly empowered him. </w:t>
            </w:r>
            <w:r w:rsidRPr="000E0B43">
              <w:rPr>
                <w:rFonts w:ascii="Calibri" w:hAnsi="Calibri" w:cs="Calibri"/>
                <w:b/>
                <w:bCs/>
                <w:sz w:val="22"/>
                <w:szCs w:val="22"/>
              </w:rPr>
              <w:t xml:space="preserve">B </w:t>
            </w:r>
            <w:r w:rsidRPr="000E0B43">
              <w:rPr>
                <w:rFonts w:ascii="Calibri" w:hAnsi="Calibri" w:cs="Calibri"/>
                <w:sz w:val="22"/>
                <w:szCs w:val="22"/>
              </w:rPr>
              <w:t xml:space="preserve">is inaccurate. The essay never portrays imperialism as creating “order or stability.” On the contrary, it emphasizes chaos, pressure from the crowd, and the narrator’s sense that imperialism destroys both the oppressor and the oppressed. </w:t>
            </w:r>
            <w:r w:rsidRPr="000E0B43">
              <w:rPr>
                <w:rFonts w:ascii="Calibri" w:hAnsi="Calibri" w:cs="Calibri"/>
                <w:b/>
                <w:bCs/>
                <w:sz w:val="22"/>
                <w:szCs w:val="22"/>
              </w:rPr>
              <w:t xml:space="preserve">C </w:t>
            </w:r>
            <w:r w:rsidRPr="000E0B43">
              <w:rPr>
                <w:rFonts w:ascii="Calibri" w:hAnsi="Calibri" w:cs="Calibri"/>
                <w:sz w:val="22"/>
                <w:szCs w:val="22"/>
              </w:rPr>
              <w:t xml:space="preserve">is partly true—the essay </w:t>
            </w:r>
            <w:r w:rsidRPr="000E0B43">
              <w:rPr>
                <w:rFonts w:ascii="Calibri" w:hAnsi="Calibri" w:cs="Calibri"/>
                <w:i/>
                <w:iCs/>
                <w:sz w:val="22"/>
                <w:szCs w:val="22"/>
              </w:rPr>
              <w:t>does</w:t>
            </w:r>
            <w:r w:rsidRPr="000E0B43">
              <w:rPr>
                <w:rFonts w:ascii="Calibri" w:hAnsi="Calibri" w:cs="Calibri"/>
                <w:sz w:val="22"/>
                <w:szCs w:val="22"/>
              </w:rPr>
              <w:t xml:space="preserve"> highlight imperialism’s destructive effects. However, this answer is incomplete. The passage does more than critique imperialism generally; it narrows in on the narrator’s </w:t>
            </w:r>
            <w:r w:rsidRPr="000E0B43">
              <w:rPr>
                <w:rFonts w:ascii="Calibri" w:hAnsi="Calibri" w:cs="Calibri"/>
                <w:i/>
                <w:iCs/>
                <w:sz w:val="22"/>
                <w:szCs w:val="22"/>
              </w:rPr>
              <w:t>personal internal conflict</w:t>
            </w:r>
            <w:r w:rsidRPr="000E0B43">
              <w:rPr>
                <w:rFonts w:ascii="Calibri" w:hAnsi="Calibri" w:cs="Calibri"/>
                <w:sz w:val="22"/>
                <w:szCs w:val="22"/>
              </w:rPr>
              <w:t>. Since the question specifies the essay’s primary focus, D captures the nuance more precisely than C.</w:t>
            </w:r>
          </w:p>
        </w:tc>
      </w:tr>
    </w:tbl>
    <w:p w14:paraId="219B23B8" w14:textId="71033A23" w:rsidR="001B5BA6" w:rsidRPr="00DC1CA0" w:rsidRDefault="00304DC6" w:rsidP="00DC1CA0">
      <w:r w:rsidRPr="00AF0F9B">
        <w:rPr>
          <w:sz w:val="18"/>
          <w:szCs w:val="18"/>
        </w:rPr>
        <w:br/>
      </w:r>
      <w:r w:rsidR="00AF0F9B" w:rsidRPr="00AF0F9B">
        <w:rPr>
          <w:sz w:val="18"/>
          <w:szCs w:val="18"/>
        </w:rPr>
        <w:t xml:space="preserve">Source: Questions and explanations were adapted from chatgpt. </w:t>
      </w:r>
    </w:p>
    <w:sectPr w:rsidR="001B5BA6" w:rsidRPr="00DC1C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A622A" w14:textId="77777777" w:rsidR="0039597B" w:rsidRDefault="0039597B" w:rsidP="00DC1CA0">
      <w:r>
        <w:separator/>
      </w:r>
    </w:p>
  </w:endnote>
  <w:endnote w:type="continuationSeparator" w:id="0">
    <w:p w14:paraId="0D59B380" w14:textId="77777777" w:rsidR="0039597B" w:rsidRDefault="0039597B" w:rsidP="00D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C1C2" w14:textId="77777777" w:rsidR="004B74D9" w:rsidRDefault="004B7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6FA0" w14:textId="212A5451" w:rsidR="00DC1CA0" w:rsidRPr="00304DC6" w:rsidRDefault="004B74D9" w:rsidP="004C2D48">
    <w:pPr>
      <w:pStyle w:val="Footer"/>
    </w:pPr>
    <w:r>
      <w:rPr>
        <w:noProof/>
      </w:rPr>
      <w:drawing>
        <wp:anchor distT="0" distB="0" distL="114300" distR="114300" simplePos="0" relativeHeight="251662335" behindDoc="1" locked="0" layoutInCell="1" allowOverlap="1" wp14:anchorId="5F11D09C" wp14:editId="6AF850E6">
          <wp:simplePos x="0" y="0"/>
          <wp:positionH relativeFrom="column">
            <wp:posOffset>1508760</wp:posOffset>
          </wp:positionH>
          <wp:positionV relativeFrom="paragraph">
            <wp:posOffset>-50165</wp:posOffset>
          </wp:positionV>
          <wp:extent cx="4356100" cy="427990"/>
          <wp:effectExtent l="0" t="0" r="6350" b="0"/>
          <wp:wrapNone/>
          <wp:docPr id="853621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2179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56100" cy="427990"/>
                  </a:xfrm>
                  <a:prstGeom prst="rect">
                    <a:avLst/>
                  </a:prstGeom>
                </pic:spPr>
              </pic:pic>
            </a:graphicData>
          </a:graphic>
          <wp14:sizeRelH relativeFrom="page">
            <wp14:pctWidth>0</wp14:pctWidth>
          </wp14:sizeRelH>
          <wp14:sizeRelV relativeFrom="page">
            <wp14:pctHeight>0</wp14:pctHeight>
          </wp14:sizeRelV>
        </wp:anchor>
      </w:drawing>
    </w:r>
    <w:r w:rsidR="00A70198">
      <w:rPr>
        <w:noProof/>
      </w:rPr>
      <mc:AlternateContent>
        <mc:Choice Requires="wps">
          <w:drawing>
            <wp:anchor distT="0" distB="0" distL="114300" distR="114300" simplePos="0" relativeHeight="251663360" behindDoc="1" locked="0" layoutInCell="1" allowOverlap="1" wp14:anchorId="10C3DF8C" wp14:editId="6FF160AB">
              <wp:simplePos x="0" y="0"/>
              <wp:positionH relativeFrom="column">
                <wp:posOffset>621274</wp:posOffset>
              </wp:positionH>
              <wp:positionV relativeFrom="paragraph">
                <wp:posOffset>-94750</wp:posOffset>
              </wp:positionV>
              <wp:extent cx="3735294" cy="1828800"/>
              <wp:effectExtent l="0" t="0" r="0" b="0"/>
              <wp:wrapNone/>
              <wp:docPr id="94003596" name="Text Box 1"/>
              <wp:cNvGraphicFramePr/>
              <a:graphic xmlns:a="http://schemas.openxmlformats.org/drawingml/2006/main">
                <a:graphicData uri="http://schemas.microsoft.com/office/word/2010/wordprocessingShape">
                  <wps:wsp>
                    <wps:cNvSpPr txBox="1"/>
                    <wps:spPr>
                      <a:xfrm>
                        <a:off x="0" y="0"/>
                        <a:ext cx="3735294" cy="1828800"/>
                      </a:xfrm>
                      <a:prstGeom prst="rect">
                        <a:avLst/>
                      </a:prstGeom>
                      <a:noFill/>
                      <a:ln w="6350">
                        <a:noFill/>
                      </a:ln>
                    </wps:spPr>
                    <wps:txbx>
                      <w:txbxContent>
                        <w:p w14:paraId="5C77DB63" w14:textId="1102A471" w:rsidR="009F0B2E" w:rsidRPr="008C5074" w:rsidRDefault="00A70198" w:rsidP="008C5074">
                          <w:pPr>
                            <w:pStyle w:val="Footer"/>
                          </w:pPr>
                          <w:fldSimple w:instr=" TITLE  \* MERGEFORMAT ">
                            <w:r>
                              <w:t>ACT Challenge</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C3DF8C" id="_x0000_t202" coordsize="21600,21600" o:spt="202" path="m,l,21600r21600,l21600,xe">
              <v:stroke joinstyle="miter"/>
              <v:path gradientshapeok="t" o:connecttype="rect"/>
            </v:shapetype>
            <v:shape id="Text Box 1" o:spid="_x0000_s1026" type="#_x0000_t202" style="position:absolute;left:0;text-align:left;margin-left:48.9pt;margin-top:-7.45pt;width:294.1pt;height:2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" filled="f" stroked="f" strokeweight=".5pt">
              <v:textbox style="mso-fit-shape-to-text:t">
                <w:txbxContent>
                  <w:p w14:paraId="5C77DB63" w14:textId="1102A471" w:rsidR="009F0B2E" w:rsidRPr="008C5074" w:rsidRDefault="00A70198" w:rsidP="008C5074">
                    <w:pPr>
                      <w:pStyle w:val="Footer"/>
                    </w:pPr>
                    <w:fldSimple w:instr=" TITLE  \* MERGEFORMAT ">
                      <w:r>
                        <w:t>ACT Challenge</w:t>
                      </w:r>
                    </w:fldSimple>
                  </w:p>
                </w:txbxContent>
              </v:textbox>
            </v:shape>
          </w:pict>
        </mc:Fallback>
      </mc:AlternateContent>
    </w:r>
    <w:r w:rsidR="00304DC6">
      <w:tab/>
    </w:r>
    <w:r w:rsidR="00304DC6">
      <w:tab/>
    </w:r>
    <w:r w:rsidR="00304DC6">
      <w:tab/>
    </w:r>
    <w:r w:rsidR="00304DC6">
      <w:tab/>
    </w:r>
    <w:r w:rsidR="00304DC6">
      <w:tab/>
    </w:r>
    <w:r w:rsidR="00304DC6">
      <w:tab/>
    </w:r>
    <w:r w:rsidR="00304DC6">
      <w:tab/>
    </w:r>
    <w:r w:rsidR="00304DC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72F5" w14:textId="77777777" w:rsidR="004B74D9" w:rsidRDefault="004B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7225" w14:textId="77777777" w:rsidR="0039597B" w:rsidRDefault="0039597B" w:rsidP="00DC1CA0">
      <w:r>
        <w:separator/>
      </w:r>
    </w:p>
  </w:footnote>
  <w:footnote w:type="continuationSeparator" w:id="0">
    <w:p w14:paraId="4BF3C97D" w14:textId="77777777" w:rsidR="0039597B" w:rsidRDefault="0039597B" w:rsidP="00DC1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784A" w14:textId="77777777" w:rsidR="004B74D9" w:rsidRDefault="004B7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E448" w14:textId="77777777" w:rsidR="004B74D9" w:rsidRDefault="004B7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8E03" w14:textId="77777777" w:rsidR="004B74D9" w:rsidRDefault="004B7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D04DA0"/>
    <w:multiLevelType w:val="multilevel"/>
    <w:tmpl w:val="7E96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905603">
    <w:abstractNumId w:val="3"/>
  </w:num>
  <w:num w:numId="2" w16cid:durableId="1771200790">
    <w:abstractNumId w:val="2"/>
  </w:num>
  <w:num w:numId="3" w16cid:durableId="729034853">
    <w:abstractNumId w:val="0"/>
  </w:num>
  <w:num w:numId="4" w16cid:durableId="110738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A0"/>
    <w:rsid w:val="00072D23"/>
    <w:rsid w:val="000C7623"/>
    <w:rsid w:val="000E0B43"/>
    <w:rsid w:val="00187E6D"/>
    <w:rsid w:val="001B5BA6"/>
    <w:rsid w:val="001E1EA3"/>
    <w:rsid w:val="002040D8"/>
    <w:rsid w:val="00241EA0"/>
    <w:rsid w:val="00245200"/>
    <w:rsid w:val="00274BB5"/>
    <w:rsid w:val="002D4C34"/>
    <w:rsid w:val="00304DC6"/>
    <w:rsid w:val="0039597B"/>
    <w:rsid w:val="003D131F"/>
    <w:rsid w:val="00403889"/>
    <w:rsid w:val="00463853"/>
    <w:rsid w:val="00480109"/>
    <w:rsid w:val="004806AD"/>
    <w:rsid w:val="004856EB"/>
    <w:rsid w:val="004B74D9"/>
    <w:rsid w:val="004C2D48"/>
    <w:rsid w:val="004D0B87"/>
    <w:rsid w:val="005345DE"/>
    <w:rsid w:val="005B2598"/>
    <w:rsid w:val="005B4511"/>
    <w:rsid w:val="005B523D"/>
    <w:rsid w:val="005E3EB2"/>
    <w:rsid w:val="006C5B24"/>
    <w:rsid w:val="006E2654"/>
    <w:rsid w:val="006F637F"/>
    <w:rsid w:val="00713EC0"/>
    <w:rsid w:val="00752FFB"/>
    <w:rsid w:val="00782F44"/>
    <w:rsid w:val="007A5710"/>
    <w:rsid w:val="007C1F11"/>
    <w:rsid w:val="007C7A84"/>
    <w:rsid w:val="008C5074"/>
    <w:rsid w:val="008E31E6"/>
    <w:rsid w:val="008F712F"/>
    <w:rsid w:val="009112D3"/>
    <w:rsid w:val="00914680"/>
    <w:rsid w:val="00940F07"/>
    <w:rsid w:val="00976B6A"/>
    <w:rsid w:val="00977E3D"/>
    <w:rsid w:val="009A7873"/>
    <w:rsid w:val="009F0B2E"/>
    <w:rsid w:val="00A1673F"/>
    <w:rsid w:val="00A70198"/>
    <w:rsid w:val="00AB7991"/>
    <w:rsid w:val="00AF0F9B"/>
    <w:rsid w:val="00AF213D"/>
    <w:rsid w:val="00B33D77"/>
    <w:rsid w:val="00BD7B9F"/>
    <w:rsid w:val="00CE2E34"/>
    <w:rsid w:val="00CF3D3C"/>
    <w:rsid w:val="00CF4EFB"/>
    <w:rsid w:val="00D621F2"/>
    <w:rsid w:val="00D72955"/>
    <w:rsid w:val="00D760BA"/>
    <w:rsid w:val="00D84C2D"/>
    <w:rsid w:val="00DA0DC8"/>
    <w:rsid w:val="00DC1CA0"/>
    <w:rsid w:val="00E26CEB"/>
    <w:rsid w:val="00E302C0"/>
    <w:rsid w:val="00E326C3"/>
    <w:rsid w:val="00E45663"/>
    <w:rsid w:val="00E46C11"/>
    <w:rsid w:val="00EA2AF9"/>
    <w:rsid w:val="00EB6E7A"/>
    <w:rsid w:val="00EE37B2"/>
    <w:rsid w:val="00EF7531"/>
    <w:rsid w:val="00F10244"/>
    <w:rsid w:val="00F80B5C"/>
    <w:rsid w:val="00F87387"/>
    <w:rsid w:val="00FE5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8DC67"/>
  <w15:chartTrackingRefBased/>
  <w15:docId w15:val="{5FB403D3-F7A8-1B47-89BC-E8BF68F6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F3D3C"/>
    <w:rPr>
      <w:rFonts w:eastAsiaTheme="minorEastAsia"/>
      <w:lang w:eastAsia="ja-JP"/>
    </w:rPr>
  </w:style>
  <w:style w:type="paragraph" w:styleId="Heading1">
    <w:name w:val="heading 1"/>
    <w:basedOn w:val="Normal"/>
    <w:next w:val="Normal"/>
    <w:link w:val="Heading1Char"/>
    <w:uiPriority w:val="9"/>
    <w:qFormat/>
    <w:rsid w:val="00A70198"/>
    <w:pPr>
      <w:spacing w:before="200" w:after="120" w:line="240" w:lineRule="auto"/>
      <w:outlineLvl w:val="0"/>
    </w:pPr>
    <w:rPr>
      <w:rFonts w:eastAsia="Times New Roman"/>
      <w:b/>
      <w:bCs/>
      <w:color w:val="0F6CF2"/>
      <w:kern w:val="36"/>
      <w:shd w:val="clear" w:color="auto" w:fill="FFFFFF"/>
      <w14:ligatures w14:val="none"/>
    </w:rPr>
  </w:style>
  <w:style w:type="paragraph" w:styleId="Heading2">
    <w:name w:val="heading 2"/>
    <w:basedOn w:val="Normal"/>
    <w:next w:val="Normal"/>
    <w:link w:val="Heading2Char"/>
    <w:uiPriority w:val="9"/>
    <w:unhideWhenUsed/>
    <w:qFormat/>
    <w:rsid w:val="00A70198"/>
    <w:pPr>
      <w:outlineLvl w:val="1"/>
    </w:pPr>
    <w:rPr>
      <w:i/>
      <w:iCs/>
      <w:color w:val="0F6CF2"/>
    </w:rPr>
  </w:style>
  <w:style w:type="paragraph" w:styleId="Heading3">
    <w:name w:val="heading 3"/>
    <w:aliases w:val="Caption/Cutline/Citation"/>
    <w:basedOn w:val="Normal"/>
    <w:next w:val="Normal"/>
    <w:link w:val="Heading3Char"/>
    <w:uiPriority w:val="9"/>
    <w:unhideWhenUsed/>
    <w:qFormat/>
    <w:rsid w:val="00752FFB"/>
    <w:pPr>
      <w:outlineLvl w:val="2"/>
    </w:pPr>
    <w:rPr>
      <w:i/>
      <w:iCs/>
      <w:sz w:val="18"/>
      <w:szCs w:val="18"/>
    </w:rPr>
  </w:style>
  <w:style w:type="paragraph" w:styleId="Heading4">
    <w:name w:val="heading 4"/>
    <w:basedOn w:val="Footer"/>
    <w:next w:val="Normal"/>
    <w:link w:val="Heading4Char"/>
    <w:uiPriority w:val="9"/>
    <w:unhideWhenUsed/>
    <w:qFormat/>
    <w:rsid w:val="00752FFB"/>
    <w:rPr>
      <w:b w:val="0"/>
      <w:bCs w:val="0"/>
    </w:rPr>
  </w:style>
  <w:style w:type="paragraph" w:styleId="Heading5">
    <w:name w:val="heading 5"/>
    <w:basedOn w:val="Normal"/>
    <w:next w:val="Normal"/>
    <w:link w:val="Heading5Char"/>
    <w:uiPriority w:val="9"/>
    <w:semiHidden/>
    <w:unhideWhenUsed/>
    <w:qFormat/>
    <w:rsid w:val="00752FFB"/>
    <w:pPr>
      <w:keepNext/>
      <w:keepLines/>
      <w:spacing w:before="80" w:after="40"/>
      <w:outlineLvl w:val="4"/>
    </w:pPr>
    <w:rPr>
      <w:rFonts w:eastAsiaTheme="majorEastAsia" w:cstheme="majorBidi"/>
      <w:color w:val="1E6792" w:themeColor="accent1" w:themeShade="BF"/>
    </w:rPr>
  </w:style>
  <w:style w:type="paragraph" w:styleId="Heading6">
    <w:name w:val="heading 6"/>
    <w:basedOn w:val="Normal"/>
    <w:next w:val="Normal"/>
    <w:link w:val="Heading6Char"/>
    <w:uiPriority w:val="9"/>
    <w:semiHidden/>
    <w:unhideWhenUsed/>
    <w:qFormat/>
    <w:rsid w:val="00752F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F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F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F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CF3D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3D3C"/>
  </w:style>
  <w:style w:type="character" w:customStyle="1" w:styleId="Heading1Char">
    <w:name w:val="Heading 1 Char"/>
    <w:basedOn w:val="DefaultParagraphFont"/>
    <w:link w:val="Heading1"/>
    <w:uiPriority w:val="9"/>
    <w:rsid w:val="00A70198"/>
    <w:rPr>
      <w:rFonts w:ascii="Calibri" w:eastAsia="Times New Roman" w:hAnsi="Calibri" w:cs="Calibri"/>
      <w:b/>
      <w:bCs/>
      <w:color w:val="0F6CF2"/>
      <w:kern w:val="36"/>
      <w14:ligatures w14:val="none"/>
    </w:rPr>
  </w:style>
  <w:style w:type="character" w:customStyle="1" w:styleId="Heading2Char">
    <w:name w:val="Heading 2 Char"/>
    <w:basedOn w:val="DefaultParagraphFont"/>
    <w:link w:val="Heading2"/>
    <w:uiPriority w:val="9"/>
    <w:rsid w:val="00A70198"/>
    <w:rPr>
      <w:rFonts w:ascii="Calibri" w:hAnsi="Calibri" w:cs="Calibri"/>
      <w:i/>
      <w:iCs/>
      <w:color w:val="0F6CF2"/>
    </w:rPr>
  </w:style>
  <w:style w:type="character" w:customStyle="1" w:styleId="Heading3Char">
    <w:name w:val="Heading 3 Char"/>
    <w:aliases w:val="Caption/Cutline/Citation Char"/>
    <w:basedOn w:val="DefaultParagraphFont"/>
    <w:link w:val="Heading3"/>
    <w:uiPriority w:val="9"/>
    <w:rsid w:val="00752FFB"/>
    <w:rPr>
      <w:rFonts w:ascii="Calibri" w:hAnsi="Calibri" w:cs="Calibri"/>
      <w:i/>
      <w:iCs/>
      <w:sz w:val="18"/>
      <w:szCs w:val="18"/>
    </w:rPr>
  </w:style>
  <w:style w:type="character" w:customStyle="1" w:styleId="Heading4Char">
    <w:name w:val="Heading 4 Char"/>
    <w:basedOn w:val="DefaultParagraphFont"/>
    <w:link w:val="Heading4"/>
    <w:uiPriority w:val="9"/>
    <w:rsid w:val="00752FFB"/>
    <w:rPr>
      <w:rFonts w:ascii="Calibri" w:hAnsi="Calibri" w:cs="Calibri"/>
      <w:caps/>
    </w:rPr>
  </w:style>
  <w:style w:type="character" w:customStyle="1" w:styleId="Heading5Char">
    <w:name w:val="Heading 5 Char"/>
    <w:basedOn w:val="DefaultParagraphFont"/>
    <w:link w:val="Heading5"/>
    <w:uiPriority w:val="9"/>
    <w:semiHidden/>
    <w:rsid w:val="00752FFB"/>
    <w:rPr>
      <w:rFonts w:ascii="Calibri" w:eastAsiaTheme="majorEastAsia" w:hAnsi="Calibri" w:cstheme="majorBidi"/>
      <w:color w:val="1E6792" w:themeColor="accent1" w:themeShade="BF"/>
    </w:rPr>
  </w:style>
  <w:style w:type="character" w:customStyle="1" w:styleId="Heading6Char">
    <w:name w:val="Heading 6 Char"/>
    <w:basedOn w:val="DefaultParagraphFont"/>
    <w:link w:val="Heading6"/>
    <w:uiPriority w:val="9"/>
    <w:semiHidden/>
    <w:rsid w:val="00752FFB"/>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752FFB"/>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752FFB"/>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752FFB"/>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752FFB"/>
    <w:rPr>
      <w:b/>
      <w:bCs/>
      <w:caps/>
      <w:sz w:val="32"/>
      <w:szCs w:val="32"/>
    </w:rPr>
  </w:style>
  <w:style w:type="character" w:customStyle="1" w:styleId="TitleChar">
    <w:name w:val="Title Char"/>
    <w:aliases w:val="Document Title Char"/>
    <w:basedOn w:val="DefaultParagraphFont"/>
    <w:link w:val="Title"/>
    <w:uiPriority w:val="10"/>
    <w:rsid w:val="00752FFB"/>
    <w:rPr>
      <w:rFonts w:ascii="Calibri" w:hAnsi="Calibri" w:cs="Calibri"/>
      <w:b/>
      <w:bCs/>
      <w:caps/>
      <w:sz w:val="32"/>
      <w:szCs w:val="32"/>
    </w:rPr>
  </w:style>
  <w:style w:type="character" w:styleId="FollowedHyperlink">
    <w:name w:val="FollowedHyperlink"/>
    <w:basedOn w:val="DefaultParagraphFont"/>
    <w:uiPriority w:val="99"/>
    <w:semiHidden/>
    <w:unhideWhenUsed/>
    <w:rsid w:val="00752FFB"/>
    <w:rPr>
      <w:color w:val="288AC3" w:themeColor="followedHyperlink"/>
      <w:u w:val="single"/>
    </w:rPr>
  </w:style>
  <w:style w:type="paragraph" w:styleId="Footer">
    <w:name w:val="footer"/>
    <w:basedOn w:val="Normal"/>
    <w:link w:val="FooterChar"/>
    <w:uiPriority w:val="99"/>
    <w:unhideWhenUsed/>
    <w:rsid w:val="00752FFB"/>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752FFB"/>
    <w:rPr>
      <w:rFonts w:ascii="Calibri" w:hAnsi="Calibri" w:cs="Calibri"/>
      <w:b/>
      <w:bCs/>
      <w:caps/>
    </w:rPr>
  </w:style>
  <w:style w:type="paragraph" w:styleId="NormalWeb">
    <w:name w:val="Normal (Web)"/>
    <w:basedOn w:val="Normal"/>
    <w:uiPriority w:val="99"/>
    <w:semiHidden/>
    <w:unhideWhenUsed/>
    <w:rsid w:val="00752FF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752FFB"/>
    <w:pPr>
      <w:ind w:left="720"/>
    </w:pPr>
    <w:rPr>
      <w:i/>
    </w:rPr>
  </w:style>
  <w:style w:type="character" w:styleId="Hyperlink">
    <w:name w:val="Hyperlink"/>
    <w:basedOn w:val="DefaultParagraphFont"/>
    <w:uiPriority w:val="99"/>
    <w:unhideWhenUsed/>
    <w:rsid w:val="00752FFB"/>
    <w:rPr>
      <w:color w:val="288AC3" w:themeColor="accent1"/>
      <w:u w:val="single"/>
    </w:rPr>
  </w:style>
  <w:style w:type="character" w:styleId="UnresolvedMention">
    <w:name w:val="Unresolved Mention"/>
    <w:basedOn w:val="DefaultParagraphFont"/>
    <w:uiPriority w:val="99"/>
    <w:semiHidden/>
    <w:unhideWhenUsed/>
    <w:rsid w:val="00752FFB"/>
    <w:rPr>
      <w:color w:val="605E5C"/>
      <w:shd w:val="clear" w:color="auto" w:fill="E1DFDD"/>
    </w:rPr>
  </w:style>
  <w:style w:type="paragraph" w:styleId="Header">
    <w:name w:val="header"/>
    <w:basedOn w:val="Normal"/>
    <w:link w:val="HeaderChar"/>
    <w:uiPriority w:val="99"/>
    <w:unhideWhenUsed/>
    <w:rsid w:val="00E26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CEB"/>
    <w:rPr>
      <w:rFonts w:ascii="Calibri" w:hAnsi="Calibri" w:cs="Calibri"/>
    </w:rPr>
  </w:style>
  <w:style w:type="paragraph" w:styleId="ListParagraph">
    <w:name w:val="List Paragraph"/>
    <w:basedOn w:val="Normal"/>
    <w:uiPriority w:val="34"/>
    <w:qFormat/>
    <w:rsid w:val="00E26CEB"/>
    <w:pPr>
      <w:ind w:left="720"/>
      <w:contextualSpacing/>
    </w:pPr>
  </w:style>
  <w:style w:type="paragraph" w:customStyle="1" w:styleId="AnswerKey">
    <w:name w:val="Answer Key"/>
    <w:basedOn w:val="Normal"/>
    <w:qFormat/>
    <w:rsid w:val="00752FFB"/>
    <w:rPr>
      <w:color w:val="D30F7F" w:themeColor="accent5"/>
    </w:rPr>
  </w:style>
  <w:style w:type="table" w:customStyle="1" w:styleId="Style3">
    <w:name w:val="Style3"/>
    <w:basedOn w:val="TableNormal"/>
    <w:uiPriority w:val="99"/>
    <w:rsid w:val="00AF0F9B"/>
    <w:pPr>
      <w:spacing w:after="0" w:line="240" w:lineRule="auto"/>
    </w:pPr>
    <w:rPr>
      <w:rFonts w:ascii="Calibri" w:eastAsia="Calibri" w:hAnsi="Calibri" w:cs="Calibri"/>
      <w:kern w:val="0"/>
      <w:lang w:val="en"/>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7477">
      <w:bodyDiv w:val="1"/>
      <w:marLeft w:val="0"/>
      <w:marRight w:val="0"/>
      <w:marTop w:val="0"/>
      <w:marBottom w:val="0"/>
      <w:divBdr>
        <w:top w:val="none" w:sz="0" w:space="0" w:color="auto"/>
        <w:left w:val="none" w:sz="0" w:space="0" w:color="auto"/>
        <w:bottom w:val="none" w:sz="0" w:space="0" w:color="auto"/>
        <w:right w:val="none" w:sz="0" w:space="0" w:color="auto"/>
      </w:divBdr>
    </w:div>
    <w:div w:id="7198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AC3"/>
      </a:accent1>
      <a:accent2>
        <a:srgbClr val="285781"/>
      </a:accent2>
      <a:accent3>
        <a:srgbClr val="971D20"/>
      </a:accent3>
      <a:accent4>
        <a:srgbClr val="E8BF3C"/>
      </a:accent4>
      <a:accent5>
        <a:srgbClr val="D30F7F"/>
      </a:accent5>
      <a:accent6>
        <a:srgbClr val="FFFFFF"/>
      </a:accent6>
      <a:hlink>
        <a:srgbClr val="288AC3"/>
      </a:hlink>
      <a:folHlink>
        <a:srgbClr val="288AC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923</Words>
  <Characters>5004</Characters>
  <Application>Microsoft Office Word</Application>
  <DocSecurity>0</DocSecurity>
  <Lines>106</Lines>
  <Paragraphs>36</Paragraphs>
  <ScaleCrop>false</ScaleCrop>
  <HeadingPairs>
    <vt:vector size="2" baseType="variant">
      <vt:variant>
        <vt:lpstr>Title</vt:lpstr>
      </vt:variant>
      <vt:variant>
        <vt:i4>1</vt:i4>
      </vt:variant>
    </vt:vector>
  </HeadingPairs>
  <TitlesOfParts>
    <vt:vector size="1" baseType="lpstr">
      <vt:lpstr>LEARN Vertical Template</vt:lpstr>
    </vt:vector>
  </TitlesOfParts>
  <Manager/>
  <Company/>
  <LinksUpToDate>false</LinksUpToDate>
  <CharactersWithSpaces>5893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Challenge</dc:title>
  <dc:subject/>
  <dc:creator>K20 Center</dc:creator>
  <cp:keywords/>
  <dc:description/>
  <cp:lastModifiedBy>Kim, Charlie H.</cp:lastModifiedBy>
  <cp:revision>5</cp:revision>
  <dcterms:created xsi:type="dcterms:W3CDTF">2025-09-25T14:37:00Z</dcterms:created>
  <dcterms:modified xsi:type="dcterms:W3CDTF">2025-09-25T16:03:00Z</dcterms:modified>
  <cp:category/>
</cp:coreProperties>
</file>