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A4C887" w14:textId="77777777" w:rsidR="00C06E7B" w:rsidRPr="00701DBD" w:rsidRDefault="00C06E7B" w:rsidP="00C06E7B">
      <w:pPr>
        <w:pStyle w:val="Title"/>
        <w:rPr>
          <w:lang w:val="es-US"/>
        </w:rPr>
      </w:pPr>
      <w:r>
        <w:rPr>
          <w:bCs/>
          <w:lang w:val="es"/>
        </w:rPr>
        <w:t>Declaración de Derechos inglesa (1689)</w:t>
      </w:r>
    </w:p>
    <w:p w14:paraId="50ADC3B3" w14:textId="77777777" w:rsidR="00C06E7B" w:rsidRPr="00701DBD" w:rsidRDefault="00C06E7B" w:rsidP="00C06E7B">
      <w:pPr>
        <w:pStyle w:val="Heading1"/>
        <w:rPr>
          <w:lang w:val="es-US"/>
        </w:rPr>
      </w:pPr>
      <w:r>
        <w:rPr>
          <w:bCs/>
          <w:lang w:val="es"/>
        </w:rPr>
        <w:t>Disposiciones de la Ley, extractos</w:t>
      </w:r>
    </w:p>
    <w:p w14:paraId="35399001" w14:textId="77777777" w:rsidR="00C06E7B" w:rsidRPr="00701DBD" w:rsidRDefault="00C06E7B" w:rsidP="00C06E7B">
      <w:pPr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En diciembre de 1689, la Declaración de Derechos fue promulgada en una ley del Parlamento, la Declaración de Derechos de 1689. La Ley reivindicaba "ciertos derechos y libertades ancestrales" al declarar:</w:t>
      </w:r>
    </w:p>
    <w:p w14:paraId="7C56585E" w14:textId="77777777" w:rsidR="00C06E7B" w:rsidRPr="00701DBD" w:rsidRDefault="00C06E7B" w:rsidP="00C06E7B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las leyes no deben ser dispensadas o suspendidas sin el consentimiento del Parlamento;</w:t>
      </w:r>
    </w:p>
    <w:p w14:paraId="1788FE78" w14:textId="77777777" w:rsidR="00C06E7B" w:rsidRPr="00701DBD" w:rsidRDefault="00C06E7B" w:rsidP="00C06E7B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ningún impuesto debe ser recaudado sin la autoridad del Parlamento;</w:t>
      </w:r>
    </w:p>
    <w:p w14:paraId="7D96FFDB" w14:textId="77777777" w:rsidR="00C06E7B" w:rsidRPr="00701DBD" w:rsidRDefault="00C06E7B" w:rsidP="00C06E7B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el derecho de </w:t>
      </w:r>
      <w:hyperlink r:id="rId7" w:tooltip="Petición" w:history="1">
        <w:r>
          <w:rPr>
            <w:sz w:val="24"/>
            <w:szCs w:val="24"/>
            <w:lang w:val="es"/>
          </w:rPr>
          <w:t>petición</w:t>
        </w:r>
      </w:hyperlink>
      <w:r>
        <w:rPr>
          <w:sz w:val="24"/>
          <w:szCs w:val="24"/>
          <w:lang w:val="es"/>
        </w:rPr>
        <w:t> al monarca debe ser sin miedo a las represalias;</w:t>
      </w:r>
    </w:p>
    <w:p w14:paraId="24E27297" w14:textId="77777777" w:rsidR="00C06E7B" w:rsidRPr="00701DBD" w:rsidRDefault="00C06E7B" w:rsidP="00C06E7B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no se puede mantener un </w:t>
      </w:r>
      <w:hyperlink r:id="rId8" w:tooltip="Ejército permanente" w:history="1">
        <w:r>
          <w:rPr>
            <w:sz w:val="24"/>
            <w:szCs w:val="24"/>
            <w:lang w:val="es"/>
          </w:rPr>
          <w:t> ejército permanente</w:t>
        </w:r>
      </w:hyperlink>
      <w:r>
        <w:rPr>
          <w:sz w:val="24"/>
          <w:szCs w:val="24"/>
          <w:lang w:val="es"/>
        </w:rPr>
        <w:t xml:space="preserve"> en tiempo de paz sin el consentimiento del Parlamento; </w:t>
      </w:r>
    </w:p>
    <w:p w14:paraId="1E52D26A" w14:textId="77777777" w:rsidR="00C06E7B" w:rsidRPr="00701DBD" w:rsidRDefault="00C06E7B" w:rsidP="00C06E7B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los súbditos que son protestantes pueden llevar </w:t>
      </w:r>
      <w:hyperlink r:id="rId9" w:tooltip="Derecho a poseer y llevar armas" w:history="1">
        <w:r>
          <w:rPr>
            <w:sz w:val="24"/>
            <w:szCs w:val="24"/>
            <w:lang w:val="es"/>
          </w:rPr>
          <w:t>armas para su defensa</w:t>
        </w:r>
      </w:hyperlink>
      <w:r>
        <w:rPr>
          <w:sz w:val="24"/>
          <w:szCs w:val="24"/>
          <w:lang w:val="es"/>
        </w:rPr>
        <w:t> según lo permita la ley;</w:t>
      </w:r>
    </w:p>
    <w:p w14:paraId="6A5EF1E4" w14:textId="77777777" w:rsidR="00C06E7B" w:rsidRPr="00701DBD" w:rsidRDefault="00C06E7B" w:rsidP="00C06E7B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la elección de los miembros del Parlamento debe ser libre;</w:t>
      </w:r>
    </w:p>
    <w:p w14:paraId="5772994F" w14:textId="77777777" w:rsidR="00C06E7B" w:rsidRPr="00701DBD" w:rsidRDefault="00C06E7B" w:rsidP="00C06E7B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la </w:t>
      </w:r>
      <w:hyperlink r:id="rId10" w:tooltip="Libertad de expresión" w:history="1">
        <w:r>
          <w:rPr>
            <w:sz w:val="24"/>
            <w:szCs w:val="24"/>
            <w:lang w:val="es"/>
          </w:rPr>
          <w:t>libertad de expresión</w:t>
        </w:r>
      </w:hyperlink>
      <w:r>
        <w:rPr>
          <w:sz w:val="24"/>
          <w:szCs w:val="24"/>
          <w:lang w:val="es"/>
        </w:rPr>
        <w:t> y los debates o procedimientos en el Parlamento no deben ser </w:t>
      </w:r>
      <w:hyperlink r:id="rId11" w:tooltip="Privilegio parlamentario" w:history="1">
        <w:r>
          <w:rPr>
            <w:sz w:val="24"/>
            <w:szCs w:val="24"/>
            <w:lang w:val="es"/>
          </w:rPr>
          <w:t>impugnados o cuestionados</w:t>
        </w:r>
      </w:hyperlink>
      <w:r>
        <w:rPr>
          <w:sz w:val="24"/>
          <w:szCs w:val="24"/>
          <w:lang w:val="es"/>
        </w:rPr>
        <w:t> en ningún tribunal o lugar fuera del Parlamento;</w:t>
      </w:r>
    </w:p>
    <w:p w14:paraId="6270519A" w14:textId="77777777" w:rsidR="00C06E7B" w:rsidRPr="00701DBD" w:rsidRDefault="00C06E7B" w:rsidP="00C06E7B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no se debe exigir una fianza excesiva, ni imponer multas excesivas, ni infligir </w:t>
      </w:r>
      <w:hyperlink r:id="rId12" w:tooltip="Penas crueles e inusuales" w:history="1">
        <w:r>
          <w:rPr>
            <w:sz w:val="24"/>
            <w:szCs w:val="24"/>
            <w:lang w:val="es"/>
          </w:rPr>
          <w:t>penas crueles e</w:t>
        </w:r>
      </w:hyperlink>
      <w:r>
        <w:rPr>
          <w:sz w:val="24"/>
          <w:szCs w:val="24"/>
          <w:lang w:val="es"/>
        </w:rPr>
        <w:t> inusuales;</w:t>
      </w:r>
    </w:p>
    <w:p w14:paraId="09F75BFD" w14:textId="77777777" w:rsidR="00C06E7B" w:rsidRPr="00701DBD" w:rsidRDefault="00C06E7B" w:rsidP="00C06E7B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los jurados deben ser debidamente constituidos y devueltos y los jurados en los juicios por alta traición deben ser propietarios;</w:t>
      </w:r>
    </w:p>
    <w:p w14:paraId="7190A09F" w14:textId="77777777" w:rsidR="00C06E7B" w:rsidRPr="00701DBD" w:rsidRDefault="00C06E7B" w:rsidP="00C06E7B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las promesas de multas o decomisos antes de la condena son nulas;</w:t>
      </w:r>
    </w:p>
    <w:p w14:paraId="546ED7F1" w14:textId="77777777" w:rsidR="00C06E7B" w:rsidRPr="00701DBD" w:rsidRDefault="00C06E7B" w:rsidP="00C06E7B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 xml:space="preserve">Los parlamentos deben celebrarse con frecuencia. </w:t>
      </w:r>
    </w:p>
    <w:p w14:paraId="3B5F0CD9" w14:textId="77777777" w:rsidR="00C06E7B" w:rsidRPr="00701DBD" w:rsidRDefault="00C06E7B" w:rsidP="00C06E7B">
      <w:p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4"/>
          <w:szCs w:val="24"/>
          <w:lang w:val="es-US"/>
        </w:rPr>
      </w:pPr>
    </w:p>
    <w:p w14:paraId="487CA192" w14:textId="77777777" w:rsidR="00C06E7B" w:rsidRPr="00701DBD" w:rsidRDefault="00C06E7B" w:rsidP="00C06E7B">
      <w:p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4"/>
          <w:szCs w:val="24"/>
          <w:lang w:val="es-US"/>
        </w:rPr>
      </w:pPr>
    </w:p>
    <w:p w14:paraId="704F357A" w14:textId="77777777" w:rsidR="00C06E7B" w:rsidRPr="00701DBD" w:rsidRDefault="00C06E7B" w:rsidP="00C06E7B">
      <w:p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4"/>
          <w:szCs w:val="24"/>
          <w:lang w:val="es-US"/>
        </w:rPr>
      </w:pPr>
    </w:p>
    <w:p w14:paraId="29C3888D" w14:textId="77777777" w:rsidR="00C06E7B" w:rsidRPr="00701DBD" w:rsidRDefault="00C06E7B" w:rsidP="00C06E7B">
      <w:p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4"/>
          <w:szCs w:val="24"/>
          <w:lang w:val="es-US"/>
        </w:rPr>
      </w:pPr>
    </w:p>
    <w:p w14:paraId="4D5A4D2F" w14:textId="77777777" w:rsidR="00C06E7B" w:rsidRPr="00701DBD" w:rsidRDefault="00C06E7B" w:rsidP="00C06E7B">
      <w:pPr>
        <w:pStyle w:val="Citation"/>
        <w:rPr>
          <w:lang w:val="es-US"/>
        </w:rPr>
      </w:pPr>
    </w:p>
    <w:p w14:paraId="1C4FD440" w14:textId="77777777" w:rsidR="00C06E7B" w:rsidRPr="00701DBD" w:rsidRDefault="00C06E7B" w:rsidP="00C06E7B">
      <w:pPr>
        <w:pStyle w:val="Citation"/>
        <w:rPr>
          <w:lang w:val="es-US"/>
        </w:rPr>
      </w:pPr>
    </w:p>
    <w:p w14:paraId="3D8E5C5D" w14:textId="77777777" w:rsidR="00C06E7B" w:rsidRPr="00701DBD" w:rsidRDefault="00C06E7B" w:rsidP="00C06E7B">
      <w:pPr>
        <w:pStyle w:val="Citation"/>
        <w:rPr>
          <w:lang w:val="es-US"/>
        </w:rPr>
      </w:pPr>
    </w:p>
    <w:p w14:paraId="2B051A23" w14:textId="77777777" w:rsidR="00C06E7B" w:rsidRPr="00701DBD" w:rsidRDefault="00C06E7B" w:rsidP="00C06E7B">
      <w:pPr>
        <w:pStyle w:val="FootnoteText"/>
        <w:rPr>
          <w:lang w:val="es-US"/>
        </w:rPr>
      </w:pPr>
    </w:p>
    <w:p w14:paraId="7DC887DA" w14:textId="77777777" w:rsidR="00C06E7B" w:rsidRPr="00701DBD" w:rsidRDefault="00C06E7B" w:rsidP="00C06E7B">
      <w:pPr>
        <w:pStyle w:val="FootnoteText"/>
        <w:rPr>
          <w:lang w:val="es-US"/>
        </w:rPr>
      </w:pPr>
    </w:p>
    <w:p w14:paraId="1110BFEB" w14:textId="77777777" w:rsidR="00C06E7B" w:rsidRPr="00701DBD" w:rsidRDefault="00C06E7B" w:rsidP="00C06E7B">
      <w:pPr>
        <w:pStyle w:val="FootnoteText"/>
        <w:rPr>
          <w:lang w:val="es-US"/>
        </w:rPr>
      </w:pPr>
    </w:p>
    <w:p w14:paraId="4A9F4874" w14:textId="77777777" w:rsidR="00C06E7B" w:rsidRPr="00701DBD" w:rsidRDefault="00C06E7B" w:rsidP="00C06E7B">
      <w:pPr>
        <w:pStyle w:val="Citation"/>
        <w:rPr>
          <w:lang w:val="es-US"/>
        </w:rPr>
      </w:pPr>
    </w:p>
    <w:p w14:paraId="5BAB58D0" w14:textId="77777777" w:rsidR="0053328A" w:rsidRPr="00701DBD" w:rsidRDefault="00C00BF7" w:rsidP="00C06E7B">
      <w:pPr>
        <w:pStyle w:val="Citation"/>
        <w:rPr>
          <w:lang w:val="es-US"/>
        </w:rPr>
      </w:pPr>
      <w:r>
        <w:rPr>
          <w:iCs/>
          <w:lang w:val="es"/>
        </w:rPr>
        <w:t xml:space="preserve">Declaración de Derechos de 1689 (s.f.). En Wikipedia. Extraído de https://en.wikipedia.org/wiki/Bill_of_Rights_1689 </w:t>
      </w:r>
    </w:p>
    <w:sectPr w:rsidR="0053328A" w:rsidRPr="00701DBD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E751" w14:textId="77777777" w:rsidR="000137EC" w:rsidRDefault="000137EC" w:rsidP="00293785">
      <w:pPr>
        <w:spacing w:after="0" w:line="240" w:lineRule="auto"/>
      </w:pPr>
      <w:r>
        <w:separator/>
      </w:r>
    </w:p>
  </w:endnote>
  <w:endnote w:type="continuationSeparator" w:id="0">
    <w:p w14:paraId="433A3074" w14:textId="77777777" w:rsidR="000137EC" w:rsidRDefault="000137E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62B67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13BE04" wp14:editId="556D5EC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5D4A48" w14:textId="77777777" w:rsidR="00293785" w:rsidRDefault="00C06E7B" w:rsidP="00AC349E">
                          <w:pPr>
                            <w:pStyle w:val="LessonFooter"/>
                          </w:pPr>
                          <w:r w:rsidRPr="00701DBD">
                            <w:rPr>
                              <w:bCs/>
                            </w:rPr>
                            <w:t>What inspired the ideas of the constitution?</w:t>
                          </w:r>
                        </w:p>
                        <w:p w14:paraId="16F7B14F" w14:textId="77777777"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3BE0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755D4A48" w14:textId="77777777" w:rsidR="00293785" w:rsidRDefault="00C06E7B" w:rsidP="00AC349E">
                    <w:pPr>
                      <w:pStyle w:val="LessonFooter"/>
                    </w:pPr>
                    <w:r w:rsidRPr="00701DBD">
                      <w:rPr>
                        <w:bCs/>
                      </w:rPr>
                      <w:t>What inspired the ideas of the constitution?</w:t>
                    </w:r>
                  </w:p>
                  <w:p w14:paraId="16F7B14F" w14:textId="77777777" w:rsidR="00293785" w:rsidRDefault="00293785" w:rsidP="00293785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5FD971B3" wp14:editId="33EBBA7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B1920" w14:textId="77777777" w:rsidR="000137EC" w:rsidRDefault="000137EC" w:rsidP="00293785">
      <w:pPr>
        <w:spacing w:after="0" w:line="240" w:lineRule="auto"/>
      </w:pPr>
      <w:r>
        <w:separator/>
      </w:r>
    </w:p>
  </w:footnote>
  <w:footnote w:type="continuationSeparator" w:id="0">
    <w:p w14:paraId="4718994A" w14:textId="77777777" w:rsidR="000137EC" w:rsidRDefault="000137E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8FF"/>
    <w:multiLevelType w:val="multilevel"/>
    <w:tmpl w:val="3EF8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AE22F7"/>
    <w:multiLevelType w:val="hybridMultilevel"/>
    <w:tmpl w:val="0944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880320">
    <w:abstractNumId w:val="0"/>
  </w:num>
  <w:num w:numId="2" w16cid:durableId="1999844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E7B"/>
    <w:rsid w:val="000137EC"/>
    <w:rsid w:val="0005619A"/>
    <w:rsid w:val="0011259B"/>
    <w:rsid w:val="00116FDD"/>
    <w:rsid w:val="001F125D"/>
    <w:rsid w:val="00293785"/>
    <w:rsid w:val="002C0879"/>
    <w:rsid w:val="005078B4"/>
    <w:rsid w:val="0053328A"/>
    <w:rsid w:val="00540FC6"/>
    <w:rsid w:val="00656940"/>
    <w:rsid w:val="00686DAB"/>
    <w:rsid w:val="006B6C04"/>
    <w:rsid w:val="00701DBD"/>
    <w:rsid w:val="00721EA4"/>
    <w:rsid w:val="007B055F"/>
    <w:rsid w:val="00913172"/>
    <w:rsid w:val="00A101E8"/>
    <w:rsid w:val="00AC349E"/>
    <w:rsid w:val="00B92DBF"/>
    <w:rsid w:val="00BD119F"/>
    <w:rsid w:val="00C00BF7"/>
    <w:rsid w:val="00C06E7B"/>
    <w:rsid w:val="00CC4F77"/>
    <w:rsid w:val="00ED24C8"/>
    <w:rsid w:val="00FC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24E05E"/>
  <w15:docId w15:val="{4F715314-0997-4B2D-992B-D3BF21BC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C06E7B"/>
  </w:style>
  <w:style w:type="paragraph" w:styleId="Heading1">
    <w:name w:val="heading 1"/>
    <w:basedOn w:val="Normal"/>
    <w:link w:val="Heading1Char"/>
    <w:autoRedefine/>
    <w:uiPriority w:val="9"/>
    <w:qFormat/>
    <w:rsid w:val="00C06E7B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24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6E7B"/>
    <w:rPr>
      <w:rFonts w:asciiTheme="majorHAnsi" w:eastAsiaTheme="majorEastAsia" w:hAnsiTheme="majorHAnsi" w:cstheme="majorBidi"/>
      <w:b/>
      <w:color w:val="910D28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paragraph" w:styleId="ListParagraph">
    <w:name w:val="List Paragraph"/>
    <w:basedOn w:val="Normal"/>
    <w:uiPriority w:val="34"/>
    <w:rsid w:val="00C06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tanding_arm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Petition" TargetMode="External"/><Relationship Id="rId12" Type="http://schemas.openxmlformats.org/officeDocument/2006/relationships/hyperlink" Target="https://en.wikipedia.org/wiki/Cruel_and_unusual_punish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Parliamentary_privileg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Freedom_of_spe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Right_to_keep_and_bear_arm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Anna G. Patrick</cp:lastModifiedBy>
  <cp:revision>3</cp:revision>
  <cp:lastPrinted>2016-07-14T14:08:00Z</cp:lastPrinted>
  <dcterms:created xsi:type="dcterms:W3CDTF">2016-08-02T14:49:00Z</dcterms:created>
  <dcterms:modified xsi:type="dcterms:W3CDTF">2022-05-25T17:51:00Z</dcterms:modified>
</cp:coreProperties>
</file>