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A019D" w14:textId="77777777" w:rsidR="00090A5C" w:rsidRDefault="00000000">
      <w:pPr>
        <w:pStyle w:val="Title"/>
      </w:pPr>
      <w:r>
        <w:t xml:space="preserve">Tribal Government relations Jigsaw </w:t>
      </w:r>
    </w:p>
    <w:p w14:paraId="162CABE5" w14:textId="0063CEB5" w:rsidR="00090A5C" w:rsidRDefault="00000000" w:rsidP="005262FB">
      <w:pPr>
        <w:spacing w:after="200"/>
      </w:pPr>
      <w:r>
        <w:t xml:space="preserve">Each person will complete one of the </w:t>
      </w:r>
      <w:r w:rsidR="0079685E">
        <w:t>three</w:t>
      </w:r>
      <w:r>
        <w:t xml:space="preserve"> tasks below. Use the QR code to watch the video that corresponds to your task before answering the question. When everyone finishes their individual tasks, answer the last question together. </w:t>
      </w:r>
    </w:p>
    <w:tbl>
      <w:tblPr>
        <w:tblStyle w:val="a0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606"/>
        <w:gridCol w:w="1470"/>
        <w:gridCol w:w="4411"/>
      </w:tblGrid>
      <w:tr w:rsidR="00090A5C" w14:paraId="4E9983D5" w14:textId="77777777" w:rsidTr="00935FF1">
        <w:trPr>
          <w:trHeight w:val="1440"/>
        </w:trPr>
        <w:tc>
          <w:tcPr>
            <w:tcW w:w="873" w:type="dxa"/>
            <w:vAlign w:val="center"/>
          </w:tcPr>
          <w:p w14:paraId="4ACB2B16" w14:textId="77777777" w:rsidR="00090A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Task 1</w:t>
            </w:r>
          </w:p>
        </w:tc>
        <w:tc>
          <w:tcPr>
            <w:tcW w:w="2606" w:type="dxa"/>
            <w:vAlign w:val="center"/>
          </w:tcPr>
          <w:p w14:paraId="6F40BBFD" w14:textId="77777777" w:rsidR="00090A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What is the Major Crimes Act? List three takeaways.</w:t>
            </w:r>
          </w:p>
        </w:tc>
        <w:tc>
          <w:tcPr>
            <w:tcW w:w="1470" w:type="dxa"/>
            <w:vAlign w:val="center"/>
          </w:tcPr>
          <w:p w14:paraId="2178C050" w14:textId="77777777" w:rsidR="00090A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6AD239" wp14:editId="770FAB8C">
                  <wp:extent cx="786384" cy="786384"/>
                  <wp:effectExtent l="0" t="0" r="0" b="0"/>
                  <wp:docPr id="12" name="image1.png" descr="Qr cod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Qr code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7476" t="7941" r="8205" b="8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14:paraId="30768A04" w14:textId="77777777" w:rsidR="00090A5C" w:rsidRDefault="0009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0A5C" w14:paraId="0A183A30" w14:textId="77777777" w:rsidTr="00935FF1">
        <w:trPr>
          <w:trHeight w:val="1440"/>
        </w:trPr>
        <w:tc>
          <w:tcPr>
            <w:tcW w:w="873" w:type="dxa"/>
            <w:vAlign w:val="center"/>
          </w:tcPr>
          <w:p w14:paraId="72636E0C" w14:textId="77777777" w:rsidR="00090A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Task 2</w:t>
            </w:r>
          </w:p>
        </w:tc>
        <w:tc>
          <w:tcPr>
            <w:tcW w:w="2606" w:type="dxa"/>
            <w:vAlign w:val="center"/>
          </w:tcPr>
          <w:p w14:paraId="6B81C33C" w14:textId="77777777" w:rsidR="00090A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What was the </w:t>
            </w:r>
            <w:r>
              <w:rPr>
                <w:i/>
                <w:color w:val="000000"/>
              </w:rPr>
              <w:t>McGirt v. Oklahoma</w:t>
            </w:r>
            <w:r>
              <w:rPr>
                <w:color w:val="000000"/>
              </w:rPr>
              <w:t xml:space="preserve"> case?</w:t>
            </w:r>
          </w:p>
        </w:tc>
        <w:tc>
          <w:tcPr>
            <w:tcW w:w="1470" w:type="dxa"/>
            <w:vAlign w:val="center"/>
          </w:tcPr>
          <w:p w14:paraId="6C2BBED1" w14:textId="77777777" w:rsidR="00090A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114300" distB="114300" distL="114300" distR="114300" wp14:anchorId="2F3507B5" wp14:editId="20756952">
                  <wp:extent cx="786384" cy="786384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6757" t="7628" r="7132" b="6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Align w:val="center"/>
          </w:tcPr>
          <w:p w14:paraId="65445906" w14:textId="77777777" w:rsidR="00090A5C" w:rsidRDefault="0009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42B08" w14:paraId="399EB83B" w14:textId="77777777" w:rsidTr="00935FF1">
        <w:trPr>
          <w:trHeight w:val="1440"/>
        </w:trPr>
        <w:tc>
          <w:tcPr>
            <w:tcW w:w="873" w:type="dxa"/>
            <w:vAlign w:val="center"/>
          </w:tcPr>
          <w:p w14:paraId="5E7CF257" w14:textId="4766F6D8" w:rsidR="00C42B08" w:rsidRDefault="00C42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trike/>
                <w:color w:val="910D28"/>
              </w:rPr>
            </w:pPr>
            <w:r>
              <w:rPr>
                <w:b/>
                <w:color w:val="910D28"/>
              </w:rPr>
              <w:t>Task 3</w:t>
            </w:r>
          </w:p>
        </w:tc>
        <w:tc>
          <w:tcPr>
            <w:tcW w:w="2606" w:type="dxa"/>
            <w:vAlign w:val="center"/>
          </w:tcPr>
          <w:p w14:paraId="7A69E891" w14:textId="654726C7" w:rsidR="00C42B08" w:rsidRDefault="00C42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Explain how the </w:t>
            </w:r>
            <w:r w:rsidRPr="00977683">
              <w:rPr>
                <w:i/>
                <w:iCs/>
                <w:color w:val="000000"/>
              </w:rPr>
              <w:t>Castro-Huerta</w:t>
            </w:r>
            <w:r>
              <w:rPr>
                <w:color w:val="000000"/>
              </w:rPr>
              <w:t xml:space="preserve"> case can help and hurt tribal sovereignty.</w:t>
            </w:r>
          </w:p>
        </w:tc>
        <w:tc>
          <w:tcPr>
            <w:tcW w:w="1470" w:type="dxa"/>
            <w:vAlign w:val="center"/>
          </w:tcPr>
          <w:p w14:paraId="4C0BF145" w14:textId="3A12C1D4" w:rsidR="00C42B08" w:rsidRDefault="00C42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114300" distB="114300" distL="114300" distR="114300" wp14:anchorId="7CA2AE5D" wp14:editId="08082983">
                  <wp:extent cx="786384" cy="786384"/>
                  <wp:effectExtent l="0" t="0" r="0" b="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786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14:paraId="0133C1CE" w14:textId="77777777" w:rsidR="00C42B08" w:rsidRDefault="00C42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</w:rPr>
            </w:pPr>
          </w:p>
        </w:tc>
      </w:tr>
    </w:tbl>
    <w:p w14:paraId="3C1930E5" w14:textId="77777777" w:rsidR="00090A5C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 xml:space="preserve"> </w:t>
      </w:r>
    </w:p>
    <w:p w14:paraId="2D759D81" w14:textId="77777777" w:rsidR="00090A5C" w:rsidRDefault="00090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5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090A5C" w14:paraId="64ABD48C" w14:textId="77777777" w:rsidTr="00977683">
        <w:trPr>
          <w:trHeight w:val="792"/>
        </w:trPr>
        <w:tc>
          <w:tcPr>
            <w:tcW w:w="9355" w:type="dxa"/>
            <w:shd w:val="clear" w:color="auto" w:fill="3E5C61"/>
            <w:vAlign w:val="center"/>
          </w:tcPr>
          <w:p w14:paraId="14282F50" w14:textId="1D07C2EB" w:rsidR="00090A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As a group, review all that you have learned and explain how relations between the U</w:t>
            </w:r>
            <w:r w:rsidR="00977683">
              <w:rPr>
                <w:b/>
                <w:color w:val="FFFFFF"/>
              </w:rPr>
              <w:t>.</w:t>
            </w:r>
            <w:r>
              <w:rPr>
                <w:b/>
                <w:color w:val="FFFFFF"/>
              </w:rPr>
              <w:t>S</w:t>
            </w:r>
            <w:r w:rsidR="00977683">
              <w:rPr>
                <w:b/>
                <w:color w:val="FFFFFF"/>
              </w:rPr>
              <w:t>.</w:t>
            </w:r>
            <w:r>
              <w:rPr>
                <w:b/>
                <w:color w:val="FFFFFF"/>
              </w:rPr>
              <w:t xml:space="preserve"> government, state governments, and tribal governments sometimes lead to tension.</w:t>
            </w:r>
          </w:p>
        </w:tc>
      </w:tr>
      <w:tr w:rsidR="00090A5C" w14:paraId="69B75F2D" w14:textId="77777777" w:rsidTr="00977683">
        <w:trPr>
          <w:trHeight w:val="3960"/>
        </w:trPr>
        <w:tc>
          <w:tcPr>
            <w:tcW w:w="9355" w:type="dxa"/>
          </w:tcPr>
          <w:p w14:paraId="2F05D973" w14:textId="77777777" w:rsidR="00090A5C" w:rsidRDefault="0009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73DB69" w14:textId="77777777" w:rsidR="00090A5C" w:rsidRDefault="00090A5C"/>
          <w:p w14:paraId="0DB4FB54" w14:textId="77777777" w:rsidR="00090A5C" w:rsidRDefault="00090A5C"/>
          <w:p w14:paraId="731A711F" w14:textId="77777777" w:rsidR="00090A5C" w:rsidRDefault="00090A5C"/>
          <w:p w14:paraId="5872A786" w14:textId="77777777" w:rsidR="00090A5C" w:rsidRDefault="00090A5C"/>
          <w:p w14:paraId="4191A3DC" w14:textId="77777777" w:rsidR="00090A5C" w:rsidRDefault="00090A5C"/>
          <w:p w14:paraId="0B480325" w14:textId="77777777" w:rsidR="00090A5C" w:rsidRDefault="00090A5C"/>
          <w:p w14:paraId="64AD5C36" w14:textId="77777777" w:rsidR="00090A5C" w:rsidRDefault="00000000">
            <w:pPr>
              <w:tabs>
                <w:tab w:val="left" w:pos="5317"/>
              </w:tabs>
            </w:pPr>
            <w:r>
              <w:tab/>
            </w:r>
          </w:p>
        </w:tc>
      </w:tr>
    </w:tbl>
    <w:p w14:paraId="3ACB4034" w14:textId="77777777" w:rsidR="00090A5C" w:rsidRDefault="00090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90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E49C" w14:textId="77777777" w:rsidR="006B3E48" w:rsidRDefault="006B3E48">
      <w:pPr>
        <w:spacing w:after="0" w:line="240" w:lineRule="auto"/>
      </w:pPr>
      <w:r>
        <w:separator/>
      </w:r>
    </w:p>
  </w:endnote>
  <w:endnote w:type="continuationSeparator" w:id="0">
    <w:p w14:paraId="0B6903A2" w14:textId="77777777" w:rsidR="006B3E48" w:rsidRDefault="006B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2686" w14:textId="77777777" w:rsidR="00090A5C" w:rsidRDefault="00090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00AE" w14:textId="35F69962" w:rsidR="00090A5C" w:rsidRDefault="00624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E9F497" wp14:editId="311AA034">
              <wp:simplePos x="0" y="0"/>
              <wp:positionH relativeFrom="column">
                <wp:posOffset>1949450</wp:posOffset>
              </wp:positionH>
              <wp:positionV relativeFrom="paragraph">
                <wp:posOffset>-129540</wp:posOffset>
              </wp:positionV>
              <wp:extent cx="4010025" cy="295275"/>
              <wp:effectExtent l="0" t="0" r="0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348AB" w14:textId="04F234C2" w:rsidR="00090A5C" w:rsidRPr="0062417D" w:rsidRDefault="0062417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2417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TRIBAL SOVEREIGNTY AND THE 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9F497" id="Rectangle 11" o:spid="_x0000_s1026" style="position:absolute;margin-left:153.5pt;margin-top:-10.2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" filled="f" stroked="f">
              <v:textbox inset="2.53958mm,1.2694mm,2.53958mm,1.2694mm">
                <w:txbxContent>
                  <w:p w14:paraId="565348AB" w14:textId="04F234C2" w:rsidR="00090A5C" w:rsidRPr="0062417D" w:rsidRDefault="0062417D">
                    <w:pPr>
                      <w:spacing w:after="0" w:line="240" w:lineRule="auto"/>
                      <w:jc w:val="right"/>
                      <w:textDirection w:val="btLr"/>
                    </w:pPr>
                    <w:r w:rsidRPr="0062417D">
                      <w:rPr>
                        <w:rFonts w:eastAsia="Arial"/>
                        <w:b/>
                        <w:smallCaps/>
                        <w:color w:val="2D2D2D"/>
                      </w:rPr>
                      <w:t>TRIBAL SOVEREIGNTY AND THE IRA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70436B00" wp14:editId="2E2A8AC6">
          <wp:simplePos x="0" y="0"/>
          <wp:positionH relativeFrom="column">
            <wp:posOffset>1847850</wp:posOffset>
          </wp:positionH>
          <wp:positionV relativeFrom="paragraph">
            <wp:posOffset>-78740</wp:posOffset>
          </wp:positionV>
          <wp:extent cx="4572000" cy="316865"/>
          <wp:effectExtent l="0" t="0" r="0" b="6985"/>
          <wp:wrapNone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B95E" w14:textId="77777777" w:rsidR="00090A5C" w:rsidRDefault="00090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8F24" w14:textId="77777777" w:rsidR="006B3E48" w:rsidRDefault="006B3E48">
      <w:pPr>
        <w:spacing w:after="0" w:line="240" w:lineRule="auto"/>
      </w:pPr>
      <w:r>
        <w:separator/>
      </w:r>
    </w:p>
  </w:footnote>
  <w:footnote w:type="continuationSeparator" w:id="0">
    <w:p w14:paraId="18173BDA" w14:textId="77777777" w:rsidR="006B3E48" w:rsidRDefault="006B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572E" w14:textId="77777777" w:rsidR="00090A5C" w:rsidRDefault="00090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EEB2" w14:textId="77777777" w:rsidR="00090A5C" w:rsidRDefault="00090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ADE2" w14:textId="77777777" w:rsidR="00090A5C" w:rsidRDefault="00090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5C"/>
    <w:rsid w:val="00090A5C"/>
    <w:rsid w:val="005262FB"/>
    <w:rsid w:val="0062417D"/>
    <w:rsid w:val="006B3E48"/>
    <w:rsid w:val="0079685E"/>
    <w:rsid w:val="00816303"/>
    <w:rsid w:val="00862DAC"/>
    <w:rsid w:val="00935FF1"/>
    <w:rsid w:val="00977683"/>
    <w:rsid w:val="00BC6D99"/>
    <w:rsid w:val="00C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C020D"/>
  <w15:docId w15:val="{B7F50999-BA0A-824D-90B4-0CAA8BC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C1E8D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3C1E8D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rmUhgJDpKDCL5eZh8aQ/yFM5nA==">AMUW2mWVENSMwBmwWz1ZRFIo+0Yf/SFQYTR6L/sahYa+sEs9M+QL9M9EsUpGZcM/430nhL7RLmr7/6kMrh6TMqxYoZ+jDPpVB2aSFOGeOGgPrIiQpxKDl6w=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creator>K20 Center</dc:creator>
  <cp:lastModifiedBy>Peters, Daniella M.</cp:lastModifiedBy>
  <cp:revision>9</cp:revision>
  <dcterms:created xsi:type="dcterms:W3CDTF">2023-02-07T18:50:00Z</dcterms:created>
  <dcterms:modified xsi:type="dcterms:W3CDTF">2023-02-13T00:35:00Z</dcterms:modified>
</cp:coreProperties>
</file>