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59BA" w14:textId="38E51D49" w:rsidR="009A5492" w:rsidRPr="002F2D5A" w:rsidRDefault="00DA6638" w:rsidP="002F2D5A">
      <w:pPr>
        <w:pStyle w:val="Title"/>
        <w:rPr>
          <w:sz w:val="28"/>
          <w:szCs w:val="28"/>
        </w:rPr>
      </w:pPr>
      <w:r>
        <w:rPr>
          <w:sz w:val="28"/>
          <w:szCs w:val="28"/>
        </w:rPr>
        <w:t>literary devices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5231"/>
        <w:gridCol w:w="4853"/>
      </w:tblGrid>
      <w:tr w:rsidR="008364CA" w14:paraId="21D5626A" w14:textId="1CB640C5" w:rsidTr="00603DCC">
        <w:trPr>
          <w:tblHeader/>
        </w:trPr>
        <w:tc>
          <w:tcPr>
            <w:tcW w:w="2146" w:type="dxa"/>
            <w:shd w:val="clear" w:color="auto" w:fill="3E5C61" w:themeFill="accent2"/>
          </w:tcPr>
          <w:p w14:paraId="2135E98A" w14:textId="1D254461" w:rsidR="008364CA" w:rsidRPr="007618ED" w:rsidRDefault="008364CA" w:rsidP="009A5492">
            <w:pPr>
              <w:pStyle w:val="TableColumnHeaders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Literary Device</w:t>
            </w:r>
          </w:p>
        </w:tc>
        <w:tc>
          <w:tcPr>
            <w:tcW w:w="5231" w:type="dxa"/>
            <w:shd w:val="clear" w:color="auto" w:fill="3E5C61" w:themeFill="accent2"/>
          </w:tcPr>
          <w:p w14:paraId="2C4D0569" w14:textId="2FEDABC1" w:rsidR="008364CA" w:rsidRPr="007618ED" w:rsidRDefault="008364CA" w:rsidP="009A5492">
            <w:pPr>
              <w:pStyle w:val="TableColumnHeaders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Definition</w:t>
            </w:r>
          </w:p>
        </w:tc>
        <w:tc>
          <w:tcPr>
            <w:tcW w:w="4853" w:type="dxa"/>
            <w:shd w:val="clear" w:color="auto" w:fill="3E5C61" w:themeFill="accent2"/>
          </w:tcPr>
          <w:p w14:paraId="16DF785F" w14:textId="4785AA1D" w:rsidR="008364CA" w:rsidRDefault="009A5492" w:rsidP="009A5492">
            <w:pPr>
              <w:pStyle w:val="TableColumnHeaders"/>
            </w:pPr>
            <w:r>
              <w:t xml:space="preserve">Simplified </w:t>
            </w:r>
            <w:r w:rsidR="007618ED">
              <w:t>D</w:t>
            </w:r>
            <w:r>
              <w:t xml:space="preserve">efinition or </w:t>
            </w:r>
            <w:r w:rsidR="007618ED">
              <w:t>E</w:t>
            </w:r>
            <w:r>
              <w:t>xample</w:t>
            </w:r>
          </w:p>
        </w:tc>
      </w:tr>
      <w:tr w:rsidR="008364CA" w14:paraId="1CCF6697" w14:textId="16198DD6" w:rsidTr="00A06156">
        <w:tc>
          <w:tcPr>
            <w:tcW w:w="2146" w:type="dxa"/>
            <w:vAlign w:val="center"/>
          </w:tcPr>
          <w:p w14:paraId="67FB623F" w14:textId="77777777" w:rsidR="00A06156" w:rsidRPr="007618ED" w:rsidRDefault="00A06156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</w:p>
          <w:p w14:paraId="5BCD511E" w14:textId="0C81BB4E" w:rsidR="008364CA" w:rsidRPr="007618ED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Allegory</w:t>
            </w:r>
          </w:p>
        </w:tc>
        <w:tc>
          <w:tcPr>
            <w:tcW w:w="5231" w:type="dxa"/>
          </w:tcPr>
          <w:p w14:paraId="6EADCE47" w14:textId="6A6B4709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Work that symbolizes or represents an idea or event; used to convey a political or spiritual meaning.</w:t>
            </w:r>
          </w:p>
        </w:tc>
        <w:tc>
          <w:tcPr>
            <w:tcW w:w="4853" w:type="dxa"/>
          </w:tcPr>
          <w:p w14:paraId="6D62FC7E" w14:textId="77777777" w:rsidR="008364CA" w:rsidRDefault="008364CA" w:rsidP="008C67B9">
            <w:pPr>
              <w:pStyle w:val="BodyText"/>
            </w:pPr>
          </w:p>
        </w:tc>
      </w:tr>
      <w:tr w:rsidR="008364CA" w14:paraId="2881B111" w14:textId="097D5EFE" w:rsidTr="00A06156">
        <w:tc>
          <w:tcPr>
            <w:tcW w:w="2146" w:type="dxa"/>
            <w:vAlign w:val="center"/>
          </w:tcPr>
          <w:p w14:paraId="5B9F7ECD" w14:textId="31F4EC98" w:rsidR="008364CA" w:rsidRPr="007618ED" w:rsidRDefault="008364CA" w:rsidP="00A06156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Alliteration</w:t>
            </w:r>
          </w:p>
        </w:tc>
        <w:tc>
          <w:tcPr>
            <w:tcW w:w="5231" w:type="dxa"/>
          </w:tcPr>
          <w:p w14:paraId="10D07769" w14:textId="0D82364C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Repetition of the same or similar consonant sounds in succession</w:t>
            </w:r>
            <w:r w:rsidR="00A06156" w:rsidRPr="007618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53" w:type="dxa"/>
          </w:tcPr>
          <w:p w14:paraId="29B1FB6F" w14:textId="77777777" w:rsidR="008364CA" w:rsidRDefault="008364CA" w:rsidP="008C67B9">
            <w:pPr>
              <w:pStyle w:val="BodyText"/>
            </w:pPr>
          </w:p>
        </w:tc>
      </w:tr>
      <w:tr w:rsidR="008364CA" w14:paraId="1EB1BA25" w14:textId="2C079DE7" w:rsidTr="00A06156">
        <w:tc>
          <w:tcPr>
            <w:tcW w:w="2146" w:type="dxa"/>
            <w:vAlign w:val="center"/>
          </w:tcPr>
          <w:p w14:paraId="12729C51" w14:textId="5FA0E36E" w:rsidR="008364CA" w:rsidRPr="007618ED" w:rsidRDefault="008364CA" w:rsidP="00A06156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Allusion</w:t>
            </w:r>
          </w:p>
        </w:tc>
        <w:tc>
          <w:tcPr>
            <w:tcW w:w="5231" w:type="dxa"/>
          </w:tcPr>
          <w:p w14:paraId="51E3794F" w14:textId="5769BE60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Indirect reference to a person, place, thing, event, or idea</w:t>
            </w:r>
            <w:r w:rsidR="00A06156" w:rsidRPr="007618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53" w:type="dxa"/>
          </w:tcPr>
          <w:p w14:paraId="3B4172D2" w14:textId="77777777" w:rsidR="008364CA" w:rsidRDefault="008364CA" w:rsidP="008C67B9">
            <w:pPr>
              <w:pStyle w:val="BodyText"/>
            </w:pPr>
          </w:p>
        </w:tc>
      </w:tr>
      <w:tr w:rsidR="008364CA" w14:paraId="2CB16F0F" w14:textId="58DEBC34" w:rsidTr="00A06156">
        <w:tc>
          <w:tcPr>
            <w:tcW w:w="2146" w:type="dxa"/>
            <w:vAlign w:val="center"/>
          </w:tcPr>
          <w:p w14:paraId="233EED3E" w14:textId="70B5DE19" w:rsidR="008364CA" w:rsidRPr="007618ED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Anthropomorphism</w:t>
            </w:r>
          </w:p>
        </w:tc>
        <w:tc>
          <w:tcPr>
            <w:tcW w:w="5231" w:type="dxa"/>
          </w:tcPr>
          <w:p w14:paraId="40202828" w14:textId="0EB94EA2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Interpretation of a non-human animal, event, or object as embodying human qualities or characteristics</w:t>
            </w:r>
            <w:r w:rsidR="00A06156" w:rsidRPr="007618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53" w:type="dxa"/>
          </w:tcPr>
          <w:p w14:paraId="73E6EF87" w14:textId="77777777" w:rsidR="008364CA" w:rsidRDefault="008364CA" w:rsidP="008C67B9">
            <w:pPr>
              <w:pStyle w:val="BodyText"/>
            </w:pPr>
          </w:p>
        </w:tc>
      </w:tr>
      <w:tr w:rsidR="008364CA" w14:paraId="31A8BD33" w14:textId="7D8009AC" w:rsidTr="00A06156">
        <w:tc>
          <w:tcPr>
            <w:tcW w:w="2146" w:type="dxa"/>
            <w:vAlign w:val="center"/>
          </w:tcPr>
          <w:p w14:paraId="2DFE54D6" w14:textId="034F9A16" w:rsidR="008364CA" w:rsidRPr="007618ED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Colloquialism</w:t>
            </w:r>
          </w:p>
        </w:tc>
        <w:tc>
          <w:tcPr>
            <w:tcW w:w="5231" w:type="dxa"/>
          </w:tcPr>
          <w:p w14:paraId="11096D09" w14:textId="3F42A838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Informal piece of dialogue or turn of phrase used in everyday conversation</w:t>
            </w:r>
          </w:p>
        </w:tc>
        <w:tc>
          <w:tcPr>
            <w:tcW w:w="4853" w:type="dxa"/>
          </w:tcPr>
          <w:p w14:paraId="34000099" w14:textId="77777777" w:rsidR="008364CA" w:rsidRDefault="008364CA" w:rsidP="008C67B9">
            <w:pPr>
              <w:pStyle w:val="BodyText"/>
            </w:pPr>
          </w:p>
        </w:tc>
      </w:tr>
      <w:tr w:rsidR="008364CA" w14:paraId="28B0BFCC" w14:textId="7F23C3D2" w:rsidTr="00A06156">
        <w:tc>
          <w:tcPr>
            <w:tcW w:w="2146" w:type="dxa"/>
            <w:vAlign w:val="center"/>
          </w:tcPr>
          <w:p w14:paraId="316F1995" w14:textId="6038B7B0" w:rsidR="008364CA" w:rsidRPr="007618ED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Diction</w:t>
            </w:r>
          </w:p>
        </w:tc>
        <w:tc>
          <w:tcPr>
            <w:tcW w:w="5231" w:type="dxa"/>
          </w:tcPr>
          <w:p w14:paraId="0E352A9F" w14:textId="5D9D405A" w:rsidR="008364CA" w:rsidRPr="007618ED" w:rsidRDefault="008364CA" w:rsidP="009A5492">
            <w:pPr>
              <w:pStyle w:val="TableData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Word choice and speaking style of a writer or character</w:t>
            </w:r>
          </w:p>
        </w:tc>
        <w:tc>
          <w:tcPr>
            <w:tcW w:w="4853" w:type="dxa"/>
          </w:tcPr>
          <w:p w14:paraId="1A1C521E" w14:textId="77777777" w:rsidR="008364CA" w:rsidRDefault="008364CA" w:rsidP="008C67B9">
            <w:pPr>
              <w:pStyle w:val="BodyText"/>
            </w:pPr>
          </w:p>
        </w:tc>
      </w:tr>
      <w:tr w:rsidR="008364CA" w14:paraId="5890583E" w14:textId="4B870211" w:rsidTr="00A06156">
        <w:tc>
          <w:tcPr>
            <w:tcW w:w="2146" w:type="dxa"/>
            <w:vAlign w:val="center"/>
          </w:tcPr>
          <w:p w14:paraId="1FBACB21" w14:textId="5DA5BA71" w:rsidR="008364CA" w:rsidRPr="007618ED" w:rsidRDefault="008364C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Epiphany</w:t>
            </w:r>
          </w:p>
        </w:tc>
        <w:tc>
          <w:tcPr>
            <w:tcW w:w="5231" w:type="dxa"/>
          </w:tcPr>
          <w:p w14:paraId="5C0F788B" w14:textId="78092199" w:rsidR="008364CA" w:rsidRPr="007618ED" w:rsidRDefault="002F2D5A" w:rsidP="00603DC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Moment of sudden realization or insight by a character</w:t>
            </w:r>
          </w:p>
        </w:tc>
        <w:tc>
          <w:tcPr>
            <w:tcW w:w="4853" w:type="dxa"/>
          </w:tcPr>
          <w:p w14:paraId="156736B9" w14:textId="77777777" w:rsidR="008364CA" w:rsidRDefault="008364CA" w:rsidP="008C67B9">
            <w:pPr>
              <w:pStyle w:val="BodyText"/>
            </w:pPr>
          </w:p>
        </w:tc>
      </w:tr>
      <w:tr w:rsidR="008364CA" w14:paraId="5D12ABBD" w14:textId="33AB03F1" w:rsidTr="00A06156">
        <w:tc>
          <w:tcPr>
            <w:tcW w:w="2146" w:type="dxa"/>
            <w:vAlign w:val="center"/>
          </w:tcPr>
          <w:p w14:paraId="34962402" w14:textId="7DE07202" w:rsidR="008364CA" w:rsidRPr="007618ED" w:rsidRDefault="002F2D5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Foreshadowing</w:t>
            </w:r>
          </w:p>
        </w:tc>
        <w:tc>
          <w:tcPr>
            <w:tcW w:w="5231" w:type="dxa"/>
          </w:tcPr>
          <w:p w14:paraId="7EF02043" w14:textId="115AD9A1" w:rsidR="008364CA" w:rsidRPr="007618ED" w:rsidRDefault="002F2D5A" w:rsidP="00603DC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Hinting at future or subsequent events to come to build tension in a narrative</w:t>
            </w:r>
          </w:p>
        </w:tc>
        <w:tc>
          <w:tcPr>
            <w:tcW w:w="4853" w:type="dxa"/>
          </w:tcPr>
          <w:p w14:paraId="42C2F8E3" w14:textId="77777777" w:rsidR="008364CA" w:rsidRDefault="008364CA" w:rsidP="008C67B9">
            <w:pPr>
              <w:pStyle w:val="BodyText"/>
            </w:pPr>
          </w:p>
        </w:tc>
      </w:tr>
      <w:tr w:rsidR="002F2D5A" w14:paraId="2DFDF741" w14:textId="77777777" w:rsidTr="00A06156">
        <w:tc>
          <w:tcPr>
            <w:tcW w:w="2146" w:type="dxa"/>
            <w:vAlign w:val="center"/>
          </w:tcPr>
          <w:p w14:paraId="0A6709D0" w14:textId="52C475B8" w:rsidR="002F2D5A" w:rsidRPr="007618ED" w:rsidRDefault="002F2D5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Hyperbole</w:t>
            </w:r>
          </w:p>
        </w:tc>
        <w:tc>
          <w:tcPr>
            <w:tcW w:w="5231" w:type="dxa"/>
          </w:tcPr>
          <w:p w14:paraId="2DF01E32" w14:textId="655BB074" w:rsidR="002F2D5A" w:rsidRPr="007618ED" w:rsidRDefault="002F2D5A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Statement that is obviously and intentionally exaggerated</w:t>
            </w:r>
          </w:p>
        </w:tc>
        <w:tc>
          <w:tcPr>
            <w:tcW w:w="4853" w:type="dxa"/>
          </w:tcPr>
          <w:p w14:paraId="6FC32F64" w14:textId="77777777" w:rsidR="002F2D5A" w:rsidRDefault="002F2D5A" w:rsidP="008C67B9">
            <w:pPr>
              <w:pStyle w:val="BodyText"/>
            </w:pPr>
          </w:p>
        </w:tc>
      </w:tr>
      <w:tr w:rsidR="002F2D5A" w14:paraId="5A98F468" w14:textId="77777777" w:rsidTr="00A06156">
        <w:tc>
          <w:tcPr>
            <w:tcW w:w="2146" w:type="dxa"/>
            <w:vAlign w:val="center"/>
          </w:tcPr>
          <w:p w14:paraId="4F89DFD8" w14:textId="74747A01" w:rsidR="002F2D5A" w:rsidRPr="007618ED" w:rsidRDefault="002F2D5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Idiom</w:t>
            </w:r>
          </w:p>
        </w:tc>
        <w:tc>
          <w:tcPr>
            <w:tcW w:w="5231" w:type="dxa"/>
          </w:tcPr>
          <w:p w14:paraId="775D4D83" w14:textId="3B44DCE4" w:rsidR="002F2D5A" w:rsidRPr="007618ED" w:rsidRDefault="002F2D5A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Figure of speech that is indecipherable based on the words alone, but which has metaphorical or symbolic meaning</w:t>
            </w:r>
          </w:p>
        </w:tc>
        <w:tc>
          <w:tcPr>
            <w:tcW w:w="4853" w:type="dxa"/>
          </w:tcPr>
          <w:p w14:paraId="517397F2" w14:textId="77777777" w:rsidR="002F2D5A" w:rsidRDefault="002F2D5A" w:rsidP="008C67B9">
            <w:pPr>
              <w:pStyle w:val="BodyText"/>
            </w:pPr>
          </w:p>
        </w:tc>
      </w:tr>
      <w:tr w:rsidR="002F2D5A" w14:paraId="221859A1" w14:textId="77777777" w:rsidTr="00A06156">
        <w:trPr>
          <w:trHeight w:val="70"/>
        </w:trPr>
        <w:tc>
          <w:tcPr>
            <w:tcW w:w="2146" w:type="dxa"/>
            <w:vAlign w:val="center"/>
          </w:tcPr>
          <w:p w14:paraId="7A5EA421" w14:textId="029C648C" w:rsidR="002F2D5A" w:rsidRPr="007618ED" w:rsidRDefault="002F2D5A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Imagery</w:t>
            </w:r>
          </w:p>
        </w:tc>
        <w:tc>
          <w:tcPr>
            <w:tcW w:w="5231" w:type="dxa"/>
          </w:tcPr>
          <w:p w14:paraId="23151018" w14:textId="28370244" w:rsidR="002F2D5A" w:rsidRPr="007618ED" w:rsidRDefault="002F2D5A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Compilation of sensory details which enables the reader to visualize the even</w:t>
            </w:r>
            <w:r w:rsidR="00603DCC" w:rsidRPr="007618ED">
              <w:rPr>
                <w:rFonts w:asciiTheme="minorHAnsi" w:hAnsiTheme="minorHAnsi" w:cstheme="minorHAnsi"/>
                <w:color w:val="000000"/>
              </w:rPr>
              <w:t>t</w:t>
            </w:r>
          </w:p>
          <w:p w14:paraId="1BCB776F" w14:textId="77777777" w:rsidR="002F2D5A" w:rsidRPr="007618ED" w:rsidRDefault="002F2D5A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53" w:type="dxa"/>
          </w:tcPr>
          <w:p w14:paraId="67B19119" w14:textId="77777777" w:rsidR="002F2D5A" w:rsidRDefault="002F2D5A" w:rsidP="008C67B9">
            <w:pPr>
              <w:pStyle w:val="BodyText"/>
            </w:pPr>
          </w:p>
        </w:tc>
      </w:tr>
      <w:tr w:rsidR="002F2D5A" w14:paraId="318DA0EF" w14:textId="77777777" w:rsidTr="00A06156">
        <w:tc>
          <w:tcPr>
            <w:tcW w:w="2146" w:type="dxa"/>
            <w:vAlign w:val="center"/>
          </w:tcPr>
          <w:p w14:paraId="4690D66A" w14:textId="6F822240" w:rsidR="002F2D5A" w:rsidRPr="007618ED" w:rsidRDefault="00C75D81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Irony</w:t>
            </w:r>
          </w:p>
        </w:tc>
        <w:tc>
          <w:tcPr>
            <w:tcW w:w="5231" w:type="dxa"/>
          </w:tcPr>
          <w:p w14:paraId="3D7E6A76" w14:textId="5E5E9476" w:rsidR="002F2D5A" w:rsidRPr="007618ED" w:rsidRDefault="007E5329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 xml:space="preserve">The opposite of what is expected to happen. This can occur in language, in situations, or in the behavior of characters. </w:t>
            </w:r>
          </w:p>
        </w:tc>
        <w:tc>
          <w:tcPr>
            <w:tcW w:w="4853" w:type="dxa"/>
          </w:tcPr>
          <w:p w14:paraId="35C7156C" w14:textId="77777777" w:rsidR="002F2D5A" w:rsidRDefault="002F2D5A" w:rsidP="008C67B9">
            <w:pPr>
              <w:pStyle w:val="BodyText"/>
            </w:pPr>
          </w:p>
        </w:tc>
      </w:tr>
      <w:tr w:rsidR="00603DCC" w14:paraId="5038CEFA" w14:textId="77777777" w:rsidTr="00A06156">
        <w:tc>
          <w:tcPr>
            <w:tcW w:w="2146" w:type="dxa"/>
            <w:vAlign w:val="center"/>
          </w:tcPr>
          <w:p w14:paraId="1A58C241" w14:textId="61ABCF5E" w:rsidR="00603DCC" w:rsidRPr="007618ED" w:rsidRDefault="00603DCC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Simile</w:t>
            </w:r>
          </w:p>
        </w:tc>
        <w:tc>
          <w:tcPr>
            <w:tcW w:w="5231" w:type="dxa"/>
          </w:tcPr>
          <w:p w14:paraId="5A20E851" w14:textId="5D1B13C7" w:rsidR="00603DCC" w:rsidRPr="007618ED" w:rsidRDefault="00603DCC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Comparison between objects, events, or people, which uses “like” or “as”</w:t>
            </w:r>
          </w:p>
        </w:tc>
        <w:tc>
          <w:tcPr>
            <w:tcW w:w="4853" w:type="dxa"/>
          </w:tcPr>
          <w:p w14:paraId="3B7D47D0" w14:textId="77777777" w:rsidR="00603DCC" w:rsidRDefault="00603DCC" w:rsidP="008C67B9">
            <w:pPr>
              <w:pStyle w:val="BodyText"/>
            </w:pPr>
          </w:p>
        </w:tc>
      </w:tr>
      <w:tr w:rsidR="00603DCC" w14:paraId="711AC404" w14:textId="77777777" w:rsidTr="00A06156">
        <w:tc>
          <w:tcPr>
            <w:tcW w:w="2146" w:type="dxa"/>
            <w:vAlign w:val="center"/>
          </w:tcPr>
          <w:p w14:paraId="585BDC41" w14:textId="2E874EAA" w:rsidR="00603DCC" w:rsidRPr="007618ED" w:rsidRDefault="00603DCC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lastRenderedPageBreak/>
              <w:t>Juxtaposition</w:t>
            </w:r>
          </w:p>
        </w:tc>
        <w:tc>
          <w:tcPr>
            <w:tcW w:w="5231" w:type="dxa"/>
          </w:tcPr>
          <w:p w14:paraId="571D8AF2" w14:textId="3B453537" w:rsidR="00603DCC" w:rsidRPr="007618ED" w:rsidRDefault="00603DCC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Ideas, people, images, or object placed next to one another to highlight their differences and similarities</w:t>
            </w:r>
          </w:p>
        </w:tc>
        <w:tc>
          <w:tcPr>
            <w:tcW w:w="4853" w:type="dxa"/>
          </w:tcPr>
          <w:p w14:paraId="23683DE2" w14:textId="77777777" w:rsidR="00603DCC" w:rsidRDefault="00603DCC" w:rsidP="008C67B9">
            <w:pPr>
              <w:pStyle w:val="BodyText"/>
            </w:pPr>
          </w:p>
        </w:tc>
      </w:tr>
      <w:tr w:rsidR="00603DCC" w14:paraId="4EC93072" w14:textId="77777777" w:rsidTr="00A06156">
        <w:tc>
          <w:tcPr>
            <w:tcW w:w="2146" w:type="dxa"/>
            <w:vAlign w:val="center"/>
          </w:tcPr>
          <w:p w14:paraId="5D669D01" w14:textId="20E0FDFB" w:rsidR="00603DCC" w:rsidRPr="007618ED" w:rsidRDefault="00603DCC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Metaphor</w:t>
            </w:r>
          </w:p>
        </w:tc>
        <w:tc>
          <w:tcPr>
            <w:tcW w:w="5231" w:type="dxa"/>
          </w:tcPr>
          <w:p w14:paraId="44A21F4E" w14:textId="4F8E35BE" w:rsidR="00603DCC" w:rsidRPr="007618ED" w:rsidRDefault="007873FF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Exact comparison between two unrelated things; used for dramatic or poetic effect; does not use “like” or “as”</w:t>
            </w:r>
          </w:p>
        </w:tc>
        <w:tc>
          <w:tcPr>
            <w:tcW w:w="4853" w:type="dxa"/>
          </w:tcPr>
          <w:p w14:paraId="1A97DB6A" w14:textId="77777777" w:rsidR="00603DCC" w:rsidRDefault="00603DCC" w:rsidP="008C67B9">
            <w:pPr>
              <w:pStyle w:val="BodyText"/>
            </w:pPr>
          </w:p>
        </w:tc>
      </w:tr>
      <w:tr w:rsidR="007873FF" w14:paraId="4D9DAB61" w14:textId="77777777" w:rsidTr="00A06156">
        <w:tc>
          <w:tcPr>
            <w:tcW w:w="2146" w:type="dxa"/>
            <w:vAlign w:val="center"/>
          </w:tcPr>
          <w:p w14:paraId="19EF4103" w14:textId="27F9707B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Mood</w:t>
            </w:r>
          </w:p>
        </w:tc>
        <w:tc>
          <w:tcPr>
            <w:tcW w:w="5231" w:type="dxa"/>
          </w:tcPr>
          <w:p w14:paraId="0A9DC31F" w14:textId="3C7A4EFB" w:rsidR="007873FF" w:rsidRPr="007618ED" w:rsidRDefault="007873FF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General feeling the narrator evokes in the reader through the atmosphere, descriptions, and other features</w:t>
            </w:r>
          </w:p>
        </w:tc>
        <w:tc>
          <w:tcPr>
            <w:tcW w:w="4853" w:type="dxa"/>
          </w:tcPr>
          <w:p w14:paraId="6153241F" w14:textId="77777777" w:rsidR="007873FF" w:rsidRDefault="007873FF" w:rsidP="008C67B9">
            <w:pPr>
              <w:pStyle w:val="BodyText"/>
            </w:pPr>
          </w:p>
        </w:tc>
      </w:tr>
      <w:tr w:rsidR="007873FF" w14:paraId="7A78DCF4" w14:textId="77777777" w:rsidTr="00A06156">
        <w:tc>
          <w:tcPr>
            <w:tcW w:w="2146" w:type="dxa"/>
            <w:vAlign w:val="center"/>
          </w:tcPr>
          <w:p w14:paraId="193373F5" w14:textId="0D2CD930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Onomatopoeia</w:t>
            </w:r>
          </w:p>
        </w:tc>
        <w:tc>
          <w:tcPr>
            <w:tcW w:w="5231" w:type="dxa"/>
          </w:tcPr>
          <w:p w14:paraId="65F44243" w14:textId="035945D8" w:rsidR="007873FF" w:rsidRPr="007618ED" w:rsidRDefault="007873FF" w:rsidP="002F2D5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Word that is closely associated or identical to the sound it describes</w:t>
            </w:r>
          </w:p>
        </w:tc>
        <w:tc>
          <w:tcPr>
            <w:tcW w:w="4853" w:type="dxa"/>
          </w:tcPr>
          <w:p w14:paraId="669EF062" w14:textId="77777777" w:rsidR="007873FF" w:rsidRDefault="007873FF" w:rsidP="008C67B9">
            <w:pPr>
              <w:pStyle w:val="BodyText"/>
            </w:pPr>
          </w:p>
        </w:tc>
      </w:tr>
      <w:tr w:rsidR="007873FF" w14:paraId="792F76B8" w14:textId="77777777" w:rsidTr="00A06156">
        <w:tc>
          <w:tcPr>
            <w:tcW w:w="2146" w:type="dxa"/>
            <w:vAlign w:val="center"/>
          </w:tcPr>
          <w:p w14:paraId="210C0248" w14:textId="7690EDB3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Oxymoron</w:t>
            </w:r>
          </w:p>
        </w:tc>
        <w:tc>
          <w:tcPr>
            <w:tcW w:w="5231" w:type="dxa"/>
          </w:tcPr>
          <w:p w14:paraId="64C05347" w14:textId="5A3AA80D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Pairing of seemingly contradictory terms used to convey emphasis or tension</w:t>
            </w:r>
          </w:p>
        </w:tc>
        <w:tc>
          <w:tcPr>
            <w:tcW w:w="4853" w:type="dxa"/>
          </w:tcPr>
          <w:p w14:paraId="4147C3CD" w14:textId="77777777" w:rsidR="007873FF" w:rsidRDefault="007873FF" w:rsidP="008C67B9">
            <w:pPr>
              <w:pStyle w:val="BodyText"/>
            </w:pPr>
          </w:p>
        </w:tc>
      </w:tr>
      <w:tr w:rsidR="007873FF" w14:paraId="065EF13C" w14:textId="77777777" w:rsidTr="00A06156">
        <w:tc>
          <w:tcPr>
            <w:tcW w:w="2146" w:type="dxa"/>
            <w:vAlign w:val="center"/>
          </w:tcPr>
          <w:p w14:paraId="4A91D582" w14:textId="20A91C62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Paradox</w:t>
            </w:r>
          </w:p>
        </w:tc>
        <w:tc>
          <w:tcPr>
            <w:tcW w:w="5231" w:type="dxa"/>
          </w:tcPr>
          <w:p w14:paraId="57B8C93F" w14:textId="2AE9D605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Apparent contradiction that, upon further unraveling, may contain truth; used for effect on the reader</w:t>
            </w:r>
          </w:p>
        </w:tc>
        <w:tc>
          <w:tcPr>
            <w:tcW w:w="4853" w:type="dxa"/>
          </w:tcPr>
          <w:p w14:paraId="670D5ABD" w14:textId="77777777" w:rsidR="007873FF" w:rsidRDefault="007873FF" w:rsidP="008C67B9">
            <w:pPr>
              <w:pStyle w:val="BodyText"/>
            </w:pPr>
          </w:p>
        </w:tc>
      </w:tr>
      <w:tr w:rsidR="007873FF" w14:paraId="4B18335D" w14:textId="77777777" w:rsidTr="00A06156">
        <w:tc>
          <w:tcPr>
            <w:tcW w:w="2146" w:type="dxa"/>
            <w:vAlign w:val="center"/>
          </w:tcPr>
          <w:p w14:paraId="76B912EE" w14:textId="64BF676D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Personification</w:t>
            </w:r>
          </w:p>
        </w:tc>
        <w:tc>
          <w:tcPr>
            <w:tcW w:w="5231" w:type="dxa"/>
          </w:tcPr>
          <w:p w14:paraId="351819D7" w14:textId="51F45D5E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A</w:t>
            </w:r>
            <w:r w:rsidRPr="007618ED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 xml:space="preserve">ttribution of human characteristics to something nonhuman, or the representation of an abstract quality in human form; </w:t>
            </w: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differs from anthropomorphism in that anthropomorphism involves non-humans displaying literal human traits and being capable of human behavior</w:t>
            </w:r>
          </w:p>
        </w:tc>
        <w:tc>
          <w:tcPr>
            <w:tcW w:w="4853" w:type="dxa"/>
          </w:tcPr>
          <w:p w14:paraId="78A41DCD" w14:textId="77777777" w:rsidR="007873FF" w:rsidRDefault="007873FF" w:rsidP="008C67B9">
            <w:pPr>
              <w:pStyle w:val="BodyText"/>
            </w:pPr>
          </w:p>
        </w:tc>
      </w:tr>
      <w:tr w:rsidR="007873FF" w14:paraId="737B4A53" w14:textId="77777777" w:rsidTr="00A06156">
        <w:tc>
          <w:tcPr>
            <w:tcW w:w="2146" w:type="dxa"/>
            <w:vAlign w:val="center"/>
          </w:tcPr>
          <w:p w14:paraId="341DC2F0" w14:textId="2A1695F6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Satire</w:t>
            </w:r>
          </w:p>
        </w:tc>
        <w:tc>
          <w:tcPr>
            <w:tcW w:w="5231" w:type="dxa"/>
          </w:tcPr>
          <w:p w14:paraId="74CC367E" w14:textId="5433A997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Phrase or entire work that uses irony to critique behaviors, events, people, or vices</w:t>
            </w:r>
          </w:p>
        </w:tc>
        <w:tc>
          <w:tcPr>
            <w:tcW w:w="4853" w:type="dxa"/>
          </w:tcPr>
          <w:p w14:paraId="595380A6" w14:textId="77777777" w:rsidR="007873FF" w:rsidRDefault="007873FF" w:rsidP="008C67B9">
            <w:pPr>
              <w:pStyle w:val="BodyText"/>
            </w:pPr>
          </w:p>
        </w:tc>
      </w:tr>
      <w:tr w:rsidR="007873FF" w14:paraId="1F77F84A" w14:textId="77777777" w:rsidTr="00A06156">
        <w:tc>
          <w:tcPr>
            <w:tcW w:w="2146" w:type="dxa"/>
            <w:vAlign w:val="center"/>
          </w:tcPr>
          <w:p w14:paraId="0382BF22" w14:textId="0CBD8B9B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Symbolism</w:t>
            </w:r>
          </w:p>
        </w:tc>
        <w:tc>
          <w:tcPr>
            <w:tcW w:w="5231" w:type="dxa"/>
          </w:tcPr>
          <w:p w14:paraId="49EB1F18" w14:textId="013A01AA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Something used to represent a larger concept or idea</w:t>
            </w:r>
          </w:p>
        </w:tc>
        <w:tc>
          <w:tcPr>
            <w:tcW w:w="4853" w:type="dxa"/>
          </w:tcPr>
          <w:p w14:paraId="5C14A7D8" w14:textId="77777777" w:rsidR="007873FF" w:rsidRDefault="007873FF" w:rsidP="008C67B9">
            <w:pPr>
              <w:pStyle w:val="BodyText"/>
            </w:pPr>
          </w:p>
        </w:tc>
      </w:tr>
      <w:tr w:rsidR="007873FF" w14:paraId="2941A4D9" w14:textId="77777777" w:rsidTr="00A06156">
        <w:tc>
          <w:tcPr>
            <w:tcW w:w="2146" w:type="dxa"/>
            <w:vAlign w:val="center"/>
          </w:tcPr>
          <w:p w14:paraId="77C46E58" w14:textId="2B414F94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Synecdoche</w:t>
            </w:r>
          </w:p>
        </w:tc>
        <w:tc>
          <w:tcPr>
            <w:tcW w:w="5231" w:type="dxa"/>
          </w:tcPr>
          <w:p w14:paraId="45CA134A" w14:textId="69C10D8B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Instance of a part representing a whole or vice versa</w:t>
            </w:r>
          </w:p>
        </w:tc>
        <w:tc>
          <w:tcPr>
            <w:tcW w:w="4853" w:type="dxa"/>
          </w:tcPr>
          <w:p w14:paraId="7452D852" w14:textId="77777777" w:rsidR="007873FF" w:rsidRDefault="007873FF" w:rsidP="008C67B9">
            <w:pPr>
              <w:pStyle w:val="BodyText"/>
            </w:pPr>
          </w:p>
        </w:tc>
      </w:tr>
      <w:tr w:rsidR="007873FF" w14:paraId="2E2FB4BB" w14:textId="77777777" w:rsidTr="00A06156">
        <w:tc>
          <w:tcPr>
            <w:tcW w:w="2146" w:type="dxa"/>
            <w:vAlign w:val="center"/>
          </w:tcPr>
          <w:p w14:paraId="7171BEB5" w14:textId="2439027D" w:rsidR="007873FF" w:rsidRPr="007618ED" w:rsidRDefault="007873FF" w:rsidP="00603DCC">
            <w:pPr>
              <w:pStyle w:val="RowHeader"/>
              <w:jc w:val="center"/>
              <w:rPr>
                <w:rFonts w:asciiTheme="minorHAnsi" w:hAnsiTheme="minorHAnsi" w:cstheme="minorHAnsi"/>
              </w:rPr>
            </w:pPr>
            <w:r w:rsidRPr="007618ED">
              <w:rPr>
                <w:rFonts w:asciiTheme="minorHAnsi" w:hAnsiTheme="minorHAnsi" w:cstheme="minorHAnsi"/>
              </w:rPr>
              <w:t>Tone</w:t>
            </w:r>
          </w:p>
        </w:tc>
        <w:tc>
          <w:tcPr>
            <w:tcW w:w="5231" w:type="dxa"/>
          </w:tcPr>
          <w:p w14:paraId="33AE1F5D" w14:textId="76B30E32" w:rsidR="007873FF" w:rsidRPr="007618ED" w:rsidRDefault="007873FF" w:rsidP="007873F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2263F"/>
                <w:shd w:val="clear" w:color="auto" w:fill="FFFFFF"/>
              </w:rPr>
            </w:pPr>
            <w:r w:rsidRPr="007618ED">
              <w:rPr>
                <w:rFonts w:asciiTheme="minorHAnsi" w:hAnsiTheme="minorHAnsi" w:cstheme="minorHAnsi"/>
                <w:color w:val="000000"/>
              </w:rPr>
              <w:t> </w:t>
            </w:r>
            <w:r w:rsidRPr="007618ED">
              <w:rPr>
                <w:rFonts w:asciiTheme="minorHAnsi" w:hAnsiTheme="minorHAnsi" w:cstheme="minorHAnsi"/>
                <w:color w:val="12263F"/>
                <w:shd w:val="clear" w:color="auto" w:fill="FFFFFF"/>
              </w:rPr>
              <w:t>Speaker or narrator’s attitude toward the subject of the piece; distinct from mood in that it is not used to evoke a particular feeling in the reader</w:t>
            </w:r>
          </w:p>
        </w:tc>
        <w:tc>
          <w:tcPr>
            <w:tcW w:w="4853" w:type="dxa"/>
          </w:tcPr>
          <w:p w14:paraId="39F60522" w14:textId="77777777" w:rsidR="007873FF" w:rsidRDefault="007873FF" w:rsidP="008C67B9">
            <w:pPr>
              <w:pStyle w:val="BodyText"/>
            </w:pPr>
          </w:p>
        </w:tc>
      </w:tr>
    </w:tbl>
    <w:p w14:paraId="4F39B963" w14:textId="01277499" w:rsidR="00DA6638" w:rsidRPr="00DA6638" w:rsidRDefault="00DA6638" w:rsidP="008C67B9">
      <w:pPr>
        <w:pStyle w:val="BodyText"/>
        <w:ind w:left="720"/>
      </w:pPr>
    </w:p>
    <w:sectPr w:rsidR="00DA6638" w:rsidRPr="00DA6638" w:rsidSect="00A0615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95FC" w14:textId="77777777" w:rsidR="007F3DD6" w:rsidRDefault="007F3DD6">
      <w:pPr>
        <w:spacing w:after="0" w:line="240" w:lineRule="auto"/>
      </w:pPr>
      <w:r>
        <w:separator/>
      </w:r>
    </w:p>
  </w:endnote>
  <w:endnote w:type="continuationSeparator" w:id="0">
    <w:p w14:paraId="38B66F81" w14:textId="77777777" w:rsidR="007F3DD6" w:rsidRDefault="007F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7DA3EC00" w:rsidR="00AE055F" w:rsidRDefault="00A06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2AFB6168">
              <wp:simplePos x="0" y="0"/>
              <wp:positionH relativeFrom="column">
                <wp:posOffset>6235065</wp:posOffset>
              </wp:positionH>
              <wp:positionV relativeFrom="paragraph">
                <wp:posOffset>149860</wp:posOffset>
              </wp:positionV>
              <wp:extent cx="24479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59C5FE68" w:rsidR="00AE055F" w:rsidRPr="007618ED" w:rsidRDefault="007618ED" w:rsidP="007618E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618ED">
                            <w:rPr>
                              <w:b/>
                              <w:bCs/>
                            </w:rPr>
                            <w:t>FROM APPLES TO ORANGE</w:t>
                          </w:r>
                          <w:r>
                            <w:rPr>
                              <w:b/>
                              <w:bCs/>
                            </w:rPr>
                            <w:t>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9E69C1" id="Rectangle 11" o:spid="_x0000_s1026" style="position:absolute;margin-left:490.95pt;margin-top:11.8pt;width:192.7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" filled="f" stroked="f">
              <v:textbox inset="2.53958mm,1.2694mm,2.53958mm,1.2694mm">
                <w:txbxContent>
                  <w:p w14:paraId="441A9702" w14:textId="59C5FE68" w:rsidR="00AE055F" w:rsidRPr="007618ED" w:rsidRDefault="007618ED" w:rsidP="007618ED">
                    <w:pPr>
                      <w:jc w:val="right"/>
                      <w:rPr>
                        <w:b/>
                        <w:bCs/>
                      </w:rPr>
                    </w:pPr>
                    <w:r w:rsidRPr="007618ED">
                      <w:rPr>
                        <w:b/>
                        <w:bCs/>
                      </w:rPr>
                      <w:t>FROM APPLES TO ORANGE</w:t>
                    </w:r>
                    <w:r>
                      <w:rPr>
                        <w:b/>
                        <w:bCs/>
                      </w:rPr>
                      <w:t>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20D44779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9163" w14:textId="77777777" w:rsidR="007F3DD6" w:rsidRDefault="007F3DD6">
      <w:pPr>
        <w:spacing w:after="0" w:line="240" w:lineRule="auto"/>
      </w:pPr>
      <w:r>
        <w:separator/>
      </w:r>
    </w:p>
  </w:footnote>
  <w:footnote w:type="continuationSeparator" w:id="0">
    <w:p w14:paraId="69E6856F" w14:textId="77777777" w:rsidR="007F3DD6" w:rsidRDefault="007F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218D" w14:textId="77777777" w:rsidR="007618ED" w:rsidRDefault="00761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8D82" w14:textId="77777777" w:rsidR="007618ED" w:rsidRDefault="00761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8929" w14:textId="77777777" w:rsidR="007618ED" w:rsidRDefault="00761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90A7B09"/>
    <w:multiLevelType w:val="hybridMultilevel"/>
    <w:tmpl w:val="6DA602DC"/>
    <w:lvl w:ilvl="0" w:tplc="2F66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67B"/>
    <w:multiLevelType w:val="hybridMultilevel"/>
    <w:tmpl w:val="4D226E0C"/>
    <w:lvl w:ilvl="0" w:tplc="FB801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B07"/>
    <w:multiLevelType w:val="multilevel"/>
    <w:tmpl w:val="AE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A1861"/>
    <w:multiLevelType w:val="hybridMultilevel"/>
    <w:tmpl w:val="F984EE10"/>
    <w:lvl w:ilvl="0" w:tplc="82D4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A42"/>
    <w:multiLevelType w:val="multilevel"/>
    <w:tmpl w:val="628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B0B2E"/>
    <w:multiLevelType w:val="multilevel"/>
    <w:tmpl w:val="4BB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E0011"/>
    <w:multiLevelType w:val="multilevel"/>
    <w:tmpl w:val="934C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A0EEB"/>
    <w:multiLevelType w:val="multilevel"/>
    <w:tmpl w:val="09B820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D646F8"/>
    <w:multiLevelType w:val="multilevel"/>
    <w:tmpl w:val="D622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96F63"/>
    <w:multiLevelType w:val="multilevel"/>
    <w:tmpl w:val="E0B6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15935"/>
    <w:multiLevelType w:val="multilevel"/>
    <w:tmpl w:val="390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945071">
    <w:abstractNumId w:val="0"/>
  </w:num>
  <w:num w:numId="2" w16cid:durableId="290014290">
    <w:abstractNumId w:val="4"/>
  </w:num>
  <w:num w:numId="3" w16cid:durableId="593130183">
    <w:abstractNumId w:val="2"/>
  </w:num>
  <w:num w:numId="4" w16cid:durableId="58985071">
    <w:abstractNumId w:val="8"/>
  </w:num>
  <w:num w:numId="5" w16cid:durableId="865368059">
    <w:abstractNumId w:val="1"/>
  </w:num>
  <w:num w:numId="6" w16cid:durableId="392774650">
    <w:abstractNumId w:val="6"/>
  </w:num>
  <w:num w:numId="7" w16cid:durableId="2099475822">
    <w:abstractNumId w:val="5"/>
  </w:num>
  <w:num w:numId="8" w16cid:durableId="2019578405">
    <w:abstractNumId w:val="3"/>
  </w:num>
  <w:num w:numId="9" w16cid:durableId="1932204665">
    <w:abstractNumId w:val="9"/>
  </w:num>
  <w:num w:numId="10" w16cid:durableId="1632780829">
    <w:abstractNumId w:val="11"/>
  </w:num>
  <w:num w:numId="11" w16cid:durableId="793914175">
    <w:abstractNumId w:val="7"/>
  </w:num>
  <w:num w:numId="12" w16cid:durableId="550845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223913"/>
    <w:rsid w:val="002429B4"/>
    <w:rsid w:val="00292448"/>
    <w:rsid w:val="002F2D5A"/>
    <w:rsid w:val="004D2715"/>
    <w:rsid w:val="00553CA6"/>
    <w:rsid w:val="005B770F"/>
    <w:rsid w:val="00600C52"/>
    <w:rsid w:val="00603DCC"/>
    <w:rsid w:val="00685E3F"/>
    <w:rsid w:val="007618ED"/>
    <w:rsid w:val="007873FF"/>
    <w:rsid w:val="007E5329"/>
    <w:rsid w:val="007F3DD6"/>
    <w:rsid w:val="008364CA"/>
    <w:rsid w:val="008C67B9"/>
    <w:rsid w:val="009A5492"/>
    <w:rsid w:val="009A6C1F"/>
    <w:rsid w:val="00A06156"/>
    <w:rsid w:val="00A66DB9"/>
    <w:rsid w:val="00AE055F"/>
    <w:rsid w:val="00AE5003"/>
    <w:rsid w:val="00C75D81"/>
    <w:rsid w:val="00DA6638"/>
    <w:rsid w:val="00E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3</cp:revision>
  <dcterms:created xsi:type="dcterms:W3CDTF">2022-06-17T13:06:00Z</dcterms:created>
  <dcterms:modified xsi:type="dcterms:W3CDTF">2022-06-23T13:52:00Z</dcterms:modified>
</cp:coreProperties>
</file>