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F4EDC9" w14:textId="2DA4D5B8" w:rsidR="00C94171" w:rsidRPr="00C12CAF" w:rsidRDefault="00C12CAF">
      <w:pPr>
        <w:pStyle w:val="Title"/>
        <w:rPr>
          <w:sz w:val="28"/>
          <w:szCs w:val="28"/>
          <w:lang w:val="es-ES"/>
        </w:rPr>
      </w:pPr>
      <w:r w:rsidRPr="00C12CAF">
        <w:rPr>
          <w:sz w:val="28"/>
          <w:szCs w:val="28"/>
          <w:lang w:val="es-ES"/>
        </w:rPr>
        <w:t>LA DIPLOMACIA DEL gran GARROTE</w:t>
      </w:r>
      <w:r w:rsidR="005A40A1" w:rsidRPr="00C12CAF">
        <w:rPr>
          <w:sz w:val="28"/>
          <w:szCs w:val="28"/>
          <w:lang w:val="es-ES"/>
        </w:rPr>
        <w:t xml:space="preserve"> </w:t>
      </w:r>
    </w:p>
    <w:p w14:paraId="68226A62" w14:textId="3AFFE77F" w:rsidR="007D7641" w:rsidRPr="00C12CAF" w:rsidRDefault="00C12CAF" w:rsidP="00897089">
      <w:pPr>
        <w:pBdr>
          <w:top w:val="nil"/>
          <w:left w:val="nil"/>
          <w:bottom w:val="nil"/>
          <w:right w:val="nil"/>
          <w:between w:val="nil"/>
        </w:pBdr>
        <w:ind w:firstLine="720"/>
        <w:rPr>
          <w:lang w:val="es-ES"/>
        </w:rPr>
      </w:pPr>
      <w:r w:rsidRPr="00C12CAF">
        <w:rPr>
          <w:lang w:val="es-ES"/>
        </w:rPr>
        <w:t>Theodore Roosevelt, m</w:t>
      </w:r>
      <w:r>
        <w:rPr>
          <w:lang w:val="es-ES"/>
        </w:rPr>
        <w:t>ejor</w:t>
      </w:r>
      <w:r w:rsidRPr="00C12CAF">
        <w:rPr>
          <w:lang w:val="es-ES"/>
        </w:rPr>
        <w:t xml:space="preserve"> conocido como Teddy, fue presidente de 1901 a 1909. Estados Unidos era una potencia en crecimiento durante esta época y había tomado posesión de las Filipinas, Guam, Puerto Rico y Cuba de España como resultado de la Guerra Hispano-</w:t>
      </w:r>
      <w:r>
        <w:rPr>
          <w:lang w:val="es-ES"/>
        </w:rPr>
        <w:t>estadounidense</w:t>
      </w:r>
      <w:r w:rsidRPr="00C12CAF">
        <w:rPr>
          <w:lang w:val="es-ES"/>
        </w:rPr>
        <w:t>. Roosevelt quería convertir a Estados Unidos en una superpotencia internacional y trabajó para lograr ese objetivo durante su presidencia. Conocido por su afición a la frase "Habla suavemente y lleva un gran palo, y llegarás lejos", Roosevelt utilizó la diplomacia para aumentar la influencia de Estados Unidos.</w:t>
      </w:r>
    </w:p>
    <w:p w14:paraId="5CEFBD36" w14:textId="4BA80F35" w:rsidR="007D7641" w:rsidRPr="00C12CAF" w:rsidRDefault="00F57775" w:rsidP="00897089">
      <w:pPr>
        <w:pStyle w:val="BodyText"/>
        <w:ind w:firstLine="720"/>
        <w:rPr>
          <w:lang w:val="es-ES"/>
        </w:rPr>
      </w:pPr>
      <w:r w:rsidRPr="00F57775">
        <w:rPr>
          <w:lang w:val="es-ES"/>
        </w:rPr>
        <w:t xml:space="preserve">Roosevelt también desarrolló lo que se conoce como el Corolario Roosevelt de la Doctrina Monroe. La Doctrina Monroe, puesta en marcha en 1823, decía que Estados Unidos no dejaría que los países europeos crearan nuevas colonias en </w:t>
      </w:r>
      <w:r w:rsidR="00586D8F">
        <w:rPr>
          <w:lang w:val="es-ES"/>
        </w:rPr>
        <w:t xml:space="preserve">las </w:t>
      </w:r>
      <w:r w:rsidRPr="00F57775">
        <w:rPr>
          <w:lang w:val="es-ES"/>
        </w:rPr>
        <w:t>América</w:t>
      </w:r>
      <w:r w:rsidR="00586D8F">
        <w:rPr>
          <w:lang w:val="es-ES"/>
        </w:rPr>
        <w:t>s</w:t>
      </w:r>
      <w:r w:rsidRPr="00F57775">
        <w:rPr>
          <w:lang w:val="es-ES"/>
        </w:rPr>
        <w:t xml:space="preserve">. El Corolario Roosevelt decía que Estados Unidos sería el "policía" del hemisferio occidental y que podría intervenir en los países latinoamericanos si éstos cometían infracciones, como no pagar sus deudas a los gobiernos europeos. En 1904, </w:t>
      </w:r>
      <w:r w:rsidR="008F7A2A">
        <w:rPr>
          <w:lang w:val="es-ES"/>
        </w:rPr>
        <w:t xml:space="preserve">Roosevelt </w:t>
      </w:r>
      <w:r w:rsidRPr="00F57775">
        <w:rPr>
          <w:lang w:val="es-ES"/>
        </w:rPr>
        <w:t>envió dos barcos a la República Dominicana y persuadió al gobierno para que supervisara el pago de deuda</w:t>
      </w:r>
      <w:r w:rsidR="008F7A2A">
        <w:rPr>
          <w:lang w:val="es-ES"/>
        </w:rPr>
        <w:t>s</w:t>
      </w:r>
      <w:r w:rsidRPr="00F57775">
        <w:rPr>
          <w:lang w:val="es-ES"/>
        </w:rPr>
        <w:t xml:space="preserve"> a Francia, Alemania e Italia. Esto volvería a ocurrir más tarde en Cuba, Nicaragua, México y Haití. Roosevelt convirtió una doctrina destinada a proteger a los países latinoamericanos del control europeo en una que justificaba la intervención de Estados Unidos.</w:t>
      </w:r>
      <w:r>
        <w:rPr>
          <w:lang w:val="es-ES"/>
        </w:rPr>
        <w:t xml:space="preserve"> </w:t>
      </w:r>
    </w:p>
    <w:p w14:paraId="32225903" w14:textId="6013D28E" w:rsidR="000239D0" w:rsidRPr="00C12CAF" w:rsidRDefault="0040471C" w:rsidP="00897089">
      <w:pPr>
        <w:pStyle w:val="BodyText"/>
        <w:ind w:firstLine="720"/>
        <w:rPr>
          <w:lang w:val="es-ES"/>
        </w:rPr>
      </w:pPr>
      <w:r w:rsidRPr="0040471C">
        <w:rPr>
          <w:lang w:val="es-ES"/>
        </w:rPr>
        <w:t xml:space="preserve">La creación del Canal de Panamá es uno de los logros más conocidos de Roosevelt. Colombia controlaba Panamá y se negaba a aceptar las condiciones que Estados Unidos ofrecía para la construcción del canal, por lo que Estados Unidos apoyó a Panamá con dinero y un bloqueo para que pudiera independizarse de Colombia. Después de que Panamá se independizara, aceptó que Estados Unidos construyera y controlara el canal por un precio de 10 millones de dólares y un pago anual de </w:t>
      </w:r>
      <w:r w:rsidR="002A4A8A">
        <w:rPr>
          <w:lang w:val="es-ES"/>
        </w:rPr>
        <w:t xml:space="preserve">$ </w:t>
      </w:r>
      <w:r w:rsidRPr="0040471C">
        <w:rPr>
          <w:lang w:val="es-ES"/>
        </w:rPr>
        <w:t>250</w:t>
      </w:r>
      <w:r w:rsidR="002A4A8A">
        <w:rPr>
          <w:lang w:val="es-ES"/>
        </w:rPr>
        <w:t>,</w:t>
      </w:r>
      <w:r w:rsidRPr="0040471C">
        <w:rPr>
          <w:lang w:val="es-ES"/>
        </w:rPr>
        <w:t>000. Estados Unidos transfirió el control del canal a Panamá en 1999.</w:t>
      </w:r>
    </w:p>
    <w:p w14:paraId="4A0F09F6" w14:textId="30886A34" w:rsidR="00D91554" w:rsidRPr="00C12CAF" w:rsidRDefault="007813FF" w:rsidP="007813FF">
      <w:pPr>
        <w:pStyle w:val="BodyText"/>
        <w:ind w:firstLine="720"/>
        <w:rPr>
          <w:lang w:val="es-ES"/>
        </w:rPr>
      </w:pPr>
      <w:r w:rsidRPr="007813FF">
        <w:rPr>
          <w:lang w:val="es-ES"/>
        </w:rPr>
        <w:t xml:space="preserve">En 1906, Roosevelt recibió el Premio Nobel de la Paz por su labor diplomática con Rusia y Japón. Dos años antes, había negociado un tratado de paz entre ambos países para poner fin a la </w:t>
      </w:r>
      <w:r>
        <w:rPr>
          <w:lang w:val="es-ES"/>
        </w:rPr>
        <w:t>G</w:t>
      </w:r>
      <w:r w:rsidRPr="007813FF">
        <w:rPr>
          <w:lang w:val="es-ES"/>
        </w:rPr>
        <w:t>uerra ruso-japonesa. Roosevelt también ayudó a Francia y Alemania a evitar un conflicto sobre qué país obtendría el control de Marruecos.</w:t>
      </w:r>
    </w:p>
    <w:p w14:paraId="23F4CB08" w14:textId="3CC841DB" w:rsidR="00897089" w:rsidRDefault="00897089" w:rsidP="00897089">
      <w:pPr>
        <w:pStyle w:val="FootnoteText"/>
        <w:rPr>
          <w:lang w:val="es-ES"/>
        </w:rPr>
      </w:pPr>
    </w:p>
    <w:p w14:paraId="6993537C" w14:textId="53F6AF96" w:rsidR="005D72CF" w:rsidRDefault="005D72CF" w:rsidP="00897089">
      <w:pPr>
        <w:pStyle w:val="FootnoteText"/>
        <w:rPr>
          <w:lang w:val="es-ES"/>
        </w:rPr>
      </w:pPr>
    </w:p>
    <w:p w14:paraId="39BAEAC7" w14:textId="52CDB39A" w:rsidR="005D72CF" w:rsidRDefault="005D72CF" w:rsidP="00897089">
      <w:pPr>
        <w:pStyle w:val="FootnoteText"/>
        <w:rPr>
          <w:lang w:val="es-ES"/>
        </w:rPr>
      </w:pPr>
    </w:p>
    <w:p w14:paraId="386FF695" w14:textId="3A539197" w:rsidR="005D72CF" w:rsidRDefault="005D72CF" w:rsidP="00897089">
      <w:pPr>
        <w:pStyle w:val="FootnoteText"/>
        <w:rPr>
          <w:lang w:val="es-ES"/>
        </w:rPr>
      </w:pPr>
    </w:p>
    <w:p w14:paraId="33051111" w14:textId="646C9064" w:rsidR="005D72CF" w:rsidRDefault="005D72CF" w:rsidP="00897089">
      <w:pPr>
        <w:pStyle w:val="FootnoteText"/>
        <w:rPr>
          <w:lang w:val="es-ES"/>
        </w:rPr>
      </w:pPr>
    </w:p>
    <w:p w14:paraId="33EC36A7" w14:textId="77777777" w:rsidR="005D72CF" w:rsidRPr="00C12CAF" w:rsidRDefault="005D72CF" w:rsidP="00897089">
      <w:pPr>
        <w:pStyle w:val="FootnoteText"/>
        <w:rPr>
          <w:lang w:val="es-ES"/>
        </w:rPr>
      </w:pPr>
    </w:p>
    <w:p w14:paraId="6EF03220" w14:textId="54D052D8" w:rsidR="00897089" w:rsidRPr="00C12CAF" w:rsidRDefault="00897089" w:rsidP="00897089">
      <w:pPr>
        <w:pStyle w:val="FootnoteText"/>
        <w:rPr>
          <w:lang w:val="es-ES"/>
        </w:rPr>
      </w:pPr>
    </w:p>
    <w:p w14:paraId="570708E6" w14:textId="43ED56FE" w:rsidR="0052135A" w:rsidRPr="00C12CAF" w:rsidRDefault="0052135A" w:rsidP="00897089">
      <w:pPr>
        <w:pStyle w:val="FootnoteText"/>
        <w:rPr>
          <w:lang w:val="es-ES"/>
        </w:rPr>
      </w:pPr>
    </w:p>
    <w:p w14:paraId="032F1649" w14:textId="77777777" w:rsidR="0052135A" w:rsidRPr="00C12CAF" w:rsidRDefault="0052135A" w:rsidP="00897089">
      <w:pPr>
        <w:pStyle w:val="FootnoteText"/>
        <w:rPr>
          <w:lang w:val="es-ES"/>
        </w:rPr>
      </w:pPr>
    </w:p>
    <w:p w14:paraId="31846994" w14:textId="15BB973E" w:rsidR="0052135A" w:rsidRPr="00C12CAF" w:rsidRDefault="0052135A" w:rsidP="009849F8">
      <w:pPr>
        <w:pStyle w:val="Citation"/>
        <w:rPr>
          <w:iCs/>
          <w:lang w:val="es-ES"/>
        </w:rPr>
      </w:pPr>
      <w:r w:rsidRPr="00C12CAF">
        <w:rPr>
          <w:iCs/>
          <w:lang w:val="es-ES"/>
        </w:rPr>
        <w:t>Milkis, S. (</w:t>
      </w:r>
      <w:r w:rsidR="007813FF">
        <w:rPr>
          <w:iCs/>
          <w:lang w:val="es-ES"/>
        </w:rPr>
        <w:t>s</w:t>
      </w:r>
      <w:r w:rsidRPr="00C12CAF">
        <w:rPr>
          <w:iCs/>
          <w:lang w:val="es-ES"/>
        </w:rPr>
        <w:t>.</w:t>
      </w:r>
      <w:r w:rsidR="007813FF">
        <w:rPr>
          <w:iCs/>
          <w:lang w:val="es-ES"/>
        </w:rPr>
        <w:t>f</w:t>
      </w:r>
      <w:r w:rsidRPr="00C12CAF">
        <w:rPr>
          <w:iCs/>
          <w:lang w:val="es-ES"/>
        </w:rPr>
        <w:t>.). Theodore Roosevelt: Foreign affairs. Miller Center. Re</w:t>
      </w:r>
      <w:r w:rsidR="007813FF">
        <w:rPr>
          <w:iCs/>
          <w:lang w:val="es-ES"/>
        </w:rPr>
        <w:t>cuperado</w:t>
      </w:r>
      <w:r w:rsidRPr="00C12CAF">
        <w:rPr>
          <w:iCs/>
          <w:lang w:val="es-ES"/>
        </w:rPr>
        <w:t xml:space="preserve"> </w:t>
      </w:r>
      <w:r w:rsidR="007813FF">
        <w:rPr>
          <w:iCs/>
          <w:lang w:val="es-ES"/>
        </w:rPr>
        <w:t xml:space="preserve">el 17 de agosto de </w:t>
      </w:r>
      <w:r w:rsidRPr="00C12CAF">
        <w:rPr>
          <w:iCs/>
          <w:lang w:val="es-ES"/>
        </w:rPr>
        <w:t xml:space="preserve">2022, </w:t>
      </w:r>
      <w:r w:rsidR="007813FF">
        <w:rPr>
          <w:iCs/>
          <w:lang w:val="es-ES"/>
        </w:rPr>
        <w:t>de</w:t>
      </w:r>
      <w:r w:rsidRPr="00C12CAF">
        <w:rPr>
          <w:iCs/>
          <w:lang w:val="es-ES"/>
        </w:rPr>
        <w:t xml:space="preserve"> https://millercenter.org/president/roosevelt/foreign-affairs</w:t>
      </w:r>
    </w:p>
    <w:p w14:paraId="60F2E9B6" w14:textId="0894C846" w:rsidR="00D91554" w:rsidRPr="00C12CAF" w:rsidRDefault="009849F8" w:rsidP="0052135A">
      <w:pPr>
        <w:pStyle w:val="Citation"/>
        <w:rPr>
          <w:lang w:val="es-ES"/>
        </w:rPr>
      </w:pPr>
      <w:r w:rsidRPr="00C12CAF">
        <w:rPr>
          <w:iCs/>
          <w:lang w:val="es-ES"/>
        </w:rPr>
        <w:t>Theodore Roosevelt's corollary to the Monroe Doctrine</w:t>
      </w:r>
      <w:r w:rsidR="00F80775" w:rsidRPr="00C12CAF">
        <w:rPr>
          <w:iCs/>
          <w:lang w:val="es-ES"/>
        </w:rPr>
        <w:t>.</w:t>
      </w:r>
      <w:r w:rsidRPr="00C12CAF">
        <w:rPr>
          <w:iCs/>
          <w:lang w:val="es-ES"/>
        </w:rPr>
        <w:t xml:space="preserve"> (1905)</w:t>
      </w:r>
      <w:r w:rsidRPr="00C12CAF">
        <w:rPr>
          <w:lang w:val="es-ES"/>
        </w:rPr>
        <w:t>. National Archives and Records Administration. Re</w:t>
      </w:r>
      <w:r w:rsidR="007813FF">
        <w:rPr>
          <w:lang w:val="es-ES"/>
        </w:rPr>
        <w:t>cuperado</w:t>
      </w:r>
      <w:r w:rsidRPr="00C12CAF">
        <w:rPr>
          <w:lang w:val="es-ES"/>
        </w:rPr>
        <w:t xml:space="preserve"> </w:t>
      </w:r>
      <w:r w:rsidR="007813FF">
        <w:rPr>
          <w:lang w:val="es-ES"/>
        </w:rPr>
        <w:t>el 17 de agosto de</w:t>
      </w:r>
      <w:r w:rsidRPr="00C12CAF">
        <w:rPr>
          <w:lang w:val="es-ES"/>
        </w:rPr>
        <w:t xml:space="preserve"> 2022, </w:t>
      </w:r>
      <w:r w:rsidR="007813FF">
        <w:rPr>
          <w:lang w:val="es-ES"/>
        </w:rPr>
        <w:t>de</w:t>
      </w:r>
      <w:r w:rsidRPr="00C12CAF">
        <w:rPr>
          <w:lang w:val="es-ES"/>
        </w:rPr>
        <w:t xml:space="preserve"> https://www.archives.gov/milestone-documents/roosevelt-corollary </w:t>
      </w:r>
      <w:r w:rsidR="00D91554" w:rsidRPr="00C12CAF">
        <w:rPr>
          <w:i w:val="0"/>
          <w:lang w:val="es-ES"/>
        </w:rPr>
        <w:br w:type="page"/>
      </w:r>
    </w:p>
    <w:p w14:paraId="7F38B336" w14:textId="2DAEB84A" w:rsidR="00AB3263" w:rsidRPr="00C12CAF" w:rsidRDefault="00861CBB" w:rsidP="009849F8">
      <w:pPr>
        <w:pStyle w:val="Title"/>
        <w:rPr>
          <w:sz w:val="28"/>
          <w:szCs w:val="52"/>
          <w:lang w:val="es-ES"/>
        </w:rPr>
      </w:pPr>
      <w:r>
        <w:rPr>
          <w:sz w:val="28"/>
          <w:szCs w:val="52"/>
          <w:lang w:val="es-ES"/>
        </w:rPr>
        <w:lastRenderedPageBreak/>
        <w:t>La diplomacia del dólar</w:t>
      </w:r>
    </w:p>
    <w:p w14:paraId="40765908" w14:textId="7C6A95E9" w:rsidR="00B34D1C" w:rsidRPr="00C12CAF" w:rsidRDefault="00861CBB" w:rsidP="00897089">
      <w:pPr>
        <w:ind w:firstLine="720"/>
        <w:rPr>
          <w:lang w:val="es-ES"/>
        </w:rPr>
      </w:pPr>
      <w:r w:rsidRPr="00861CBB">
        <w:rPr>
          <w:lang w:val="es-ES"/>
        </w:rPr>
        <w:t>William Taft fue presidente de 1909 a 1913. Su política diplomática se centró en utilizar el poder económico en lugar de las amenazas o la fuerza militar. En un discurso ante el Congreso en 1912, caracterizó su política exterior como "sustitu</w:t>
      </w:r>
      <w:r w:rsidR="003D3017">
        <w:rPr>
          <w:lang w:val="es-ES"/>
        </w:rPr>
        <w:t>yendo</w:t>
      </w:r>
      <w:r w:rsidRPr="00861CBB">
        <w:rPr>
          <w:lang w:val="es-ES"/>
        </w:rPr>
        <w:t xml:space="preserve"> balas por dólares". Taft animó a las empresas estadounidenses a inver</w:t>
      </w:r>
      <w:r w:rsidR="003D3017">
        <w:rPr>
          <w:lang w:val="es-ES"/>
        </w:rPr>
        <w:t>tir</w:t>
      </w:r>
      <w:r w:rsidRPr="00861CBB">
        <w:rPr>
          <w:lang w:val="es-ES"/>
        </w:rPr>
        <w:t xml:space="preserve"> en otros países para que también pudieran prosperar junto con Estados Unidos.</w:t>
      </w:r>
      <w:r w:rsidR="00B34D1C" w:rsidRPr="00C12CAF">
        <w:rPr>
          <w:lang w:val="es-ES"/>
        </w:rPr>
        <w:t xml:space="preserve"> </w:t>
      </w:r>
    </w:p>
    <w:p w14:paraId="3D94AFE0" w14:textId="6F289AAB" w:rsidR="00897089" w:rsidRPr="00C12CAF" w:rsidRDefault="00861CBB" w:rsidP="00897089">
      <w:pPr>
        <w:pStyle w:val="BodyText"/>
        <w:ind w:firstLine="720"/>
        <w:rPr>
          <w:lang w:val="es-ES"/>
        </w:rPr>
      </w:pPr>
      <w:r w:rsidRPr="00861CBB">
        <w:rPr>
          <w:lang w:val="es-ES"/>
        </w:rPr>
        <w:t>Taft reconoció que las fábricas estadounidenses estaban produciendo más bienes de los que se podían vender, por lo que era necesario aumentar las exportaciones. Taft quería que los funcionarios del gobierno fomenta</w:t>
      </w:r>
      <w:r w:rsidR="00277B4C">
        <w:rPr>
          <w:lang w:val="es-ES"/>
        </w:rPr>
        <w:t>ran</w:t>
      </w:r>
      <w:r w:rsidRPr="00861CBB">
        <w:rPr>
          <w:lang w:val="es-ES"/>
        </w:rPr>
        <w:t xml:space="preserve"> la venta de productos fabricados en Estados Unidos a países de ultramar, </w:t>
      </w:r>
      <w:r w:rsidR="00277B4C">
        <w:rPr>
          <w:lang w:val="es-ES"/>
        </w:rPr>
        <w:t>especialmente</w:t>
      </w:r>
      <w:r w:rsidRPr="00861CBB">
        <w:rPr>
          <w:lang w:val="es-ES"/>
        </w:rPr>
        <w:t xml:space="preserve"> maquinaria de gran tamaño y equipamiento militar. El Congreso no siempre estaba a favor de esta idea, por lo que Taft trabajó directamente con las empresas para animarlas a invertir y hacer préstamos a países extranjeros. Intentó sin éxito convencer a Japón y Rusia de que vendieran los ferrocarriles de Manchuria y los devolvieran al control de China. Esta derrota fue considerada una vergüenza para la presidencia de Taft.</w:t>
      </w:r>
      <w:r>
        <w:rPr>
          <w:lang w:val="es-ES"/>
        </w:rPr>
        <w:t xml:space="preserve"> </w:t>
      </w:r>
    </w:p>
    <w:p w14:paraId="3C2AE64C" w14:textId="037737A6" w:rsidR="00A60461" w:rsidRPr="00C12CAF" w:rsidRDefault="00C20FAF" w:rsidP="00897089">
      <w:pPr>
        <w:pStyle w:val="BodyText"/>
        <w:ind w:firstLine="720"/>
        <w:rPr>
          <w:lang w:val="es-ES"/>
        </w:rPr>
      </w:pPr>
      <w:r w:rsidRPr="00C20FAF">
        <w:rPr>
          <w:lang w:val="es-ES"/>
        </w:rPr>
        <w:t>Debido a que la Doctrina Monroe desalentaba las inversiones europeas en los países latinoamericanos, Taft se sintió obliga</w:t>
      </w:r>
      <w:r w:rsidR="003A58F4">
        <w:rPr>
          <w:lang w:val="es-ES"/>
        </w:rPr>
        <w:t>do</w:t>
      </w:r>
      <w:r w:rsidRPr="00C20FAF">
        <w:rPr>
          <w:lang w:val="es-ES"/>
        </w:rPr>
        <w:t xml:space="preserve"> </w:t>
      </w:r>
      <w:r w:rsidR="003A58F4">
        <w:rPr>
          <w:lang w:val="es-ES"/>
        </w:rPr>
        <w:t>a</w:t>
      </w:r>
      <w:r w:rsidRPr="00C20FAF">
        <w:rPr>
          <w:lang w:val="es-ES"/>
        </w:rPr>
        <w:t xml:space="preserve"> incitar a los bancos y empresas estadounidenses a conceder préstamos a los nuevos países independientes del Caribe, como Cuba, Honduras y la República Dominicana. A menudo, Taft enviaba a funcionarios estadounidenses a gestionar los fondos de estos gobiernos porque le preocupaba que los países tuvieran altos niveles de corrupción.</w:t>
      </w:r>
      <w:r>
        <w:rPr>
          <w:lang w:val="es-ES"/>
        </w:rPr>
        <w:t xml:space="preserve"> </w:t>
      </w:r>
    </w:p>
    <w:p w14:paraId="28FA86FA" w14:textId="784EA49C" w:rsidR="000239D0" w:rsidRPr="00C12CAF" w:rsidRDefault="00C20FAF" w:rsidP="00286B90">
      <w:pPr>
        <w:pStyle w:val="BodyText"/>
        <w:ind w:firstLine="720"/>
        <w:rPr>
          <w:lang w:val="es-ES"/>
        </w:rPr>
      </w:pPr>
      <w:r w:rsidRPr="00C20FAF">
        <w:rPr>
          <w:lang w:val="es-ES"/>
        </w:rPr>
        <w:t xml:space="preserve">Cuando una rebelión en Nicaragua amenazó la gran inversión de dólares estadounidenses en el país, Taft envió miles de tropas para detener la revuelta en 1912. El ejército estadounidense permaneció en Nicaragua durante 13 años tras este suceso. Estas decisiones provocaron la desconfianza y </w:t>
      </w:r>
      <w:r w:rsidR="00286B90">
        <w:rPr>
          <w:lang w:val="es-ES"/>
        </w:rPr>
        <w:t>la ira</w:t>
      </w:r>
      <w:r w:rsidRPr="00C20FAF">
        <w:rPr>
          <w:lang w:val="es-ES"/>
        </w:rPr>
        <w:t xml:space="preserve"> de los países latinoamericanos. En general, la política exterior de Taft se considera en gran medida un fracaso.</w:t>
      </w:r>
      <w:r w:rsidR="00742A0C" w:rsidRPr="00C12CAF">
        <w:rPr>
          <w:lang w:val="es-ES"/>
        </w:rPr>
        <w:t xml:space="preserve"> </w:t>
      </w:r>
    </w:p>
    <w:p w14:paraId="51E42465" w14:textId="77777777" w:rsidR="00D91554" w:rsidRPr="00C12CAF" w:rsidRDefault="00D91554" w:rsidP="000239D0">
      <w:pPr>
        <w:pStyle w:val="BodyText"/>
        <w:rPr>
          <w:lang w:val="es-ES"/>
        </w:rPr>
      </w:pPr>
    </w:p>
    <w:p w14:paraId="356BFB9A" w14:textId="34B88361" w:rsidR="00D91554" w:rsidRPr="00C12CAF" w:rsidRDefault="00D91554" w:rsidP="00D91554">
      <w:pPr>
        <w:pStyle w:val="Citation"/>
        <w:ind w:left="0" w:firstLine="0"/>
        <w:rPr>
          <w:iCs/>
          <w:lang w:val="es-ES"/>
        </w:rPr>
      </w:pPr>
    </w:p>
    <w:p w14:paraId="259500F9" w14:textId="77777777" w:rsidR="00897089" w:rsidRPr="00C12CAF" w:rsidRDefault="00897089" w:rsidP="00897089">
      <w:pPr>
        <w:pStyle w:val="FootnoteText"/>
        <w:rPr>
          <w:lang w:val="es-ES"/>
        </w:rPr>
      </w:pPr>
    </w:p>
    <w:p w14:paraId="3BF01785" w14:textId="6053170A" w:rsidR="00D91554" w:rsidRPr="00C12CAF" w:rsidRDefault="00D91554" w:rsidP="00D91554">
      <w:pPr>
        <w:pStyle w:val="FootnoteText"/>
        <w:rPr>
          <w:lang w:val="es-ES"/>
        </w:rPr>
      </w:pPr>
    </w:p>
    <w:p w14:paraId="6EA7B884" w14:textId="07F974D8" w:rsidR="00897089" w:rsidRDefault="00897089" w:rsidP="00D91554">
      <w:pPr>
        <w:pStyle w:val="FootnoteText"/>
        <w:rPr>
          <w:lang w:val="es-ES"/>
        </w:rPr>
      </w:pPr>
    </w:p>
    <w:p w14:paraId="08044396" w14:textId="26A17F0D" w:rsidR="005D72CF" w:rsidRDefault="005D72CF" w:rsidP="00D91554">
      <w:pPr>
        <w:pStyle w:val="FootnoteText"/>
        <w:rPr>
          <w:lang w:val="es-ES"/>
        </w:rPr>
      </w:pPr>
    </w:p>
    <w:p w14:paraId="1C93D9FC" w14:textId="6F1E5E3A" w:rsidR="005D72CF" w:rsidRDefault="005D72CF" w:rsidP="00D91554">
      <w:pPr>
        <w:pStyle w:val="FootnoteText"/>
        <w:rPr>
          <w:lang w:val="es-ES"/>
        </w:rPr>
      </w:pPr>
    </w:p>
    <w:p w14:paraId="7B11D46C" w14:textId="77777777" w:rsidR="005D72CF" w:rsidRPr="00C12CAF" w:rsidRDefault="005D72CF" w:rsidP="00D91554">
      <w:pPr>
        <w:pStyle w:val="FootnoteText"/>
        <w:rPr>
          <w:lang w:val="es-ES"/>
        </w:rPr>
      </w:pPr>
    </w:p>
    <w:p w14:paraId="4DDFEAF9" w14:textId="63E34991" w:rsidR="00897089" w:rsidRPr="00C12CAF" w:rsidRDefault="00897089" w:rsidP="00D91554">
      <w:pPr>
        <w:pStyle w:val="FootnoteText"/>
        <w:rPr>
          <w:lang w:val="es-ES"/>
        </w:rPr>
      </w:pPr>
    </w:p>
    <w:p w14:paraId="218A2B33" w14:textId="0FBFEA98" w:rsidR="00897089" w:rsidRPr="00C12CAF" w:rsidRDefault="00897089" w:rsidP="00D91554">
      <w:pPr>
        <w:pStyle w:val="FootnoteText"/>
        <w:rPr>
          <w:lang w:val="es-ES"/>
        </w:rPr>
      </w:pPr>
    </w:p>
    <w:p w14:paraId="509776B3" w14:textId="77777777" w:rsidR="00897089" w:rsidRPr="00C12CAF" w:rsidRDefault="00897089" w:rsidP="00D91554">
      <w:pPr>
        <w:pStyle w:val="FootnoteText"/>
        <w:rPr>
          <w:lang w:val="es-ES"/>
        </w:rPr>
      </w:pPr>
    </w:p>
    <w:p w14:paraId="0879C676" w14:textId="56BD020C" w:rsidR="00FE59E4" w:rsidRPr="00C12CAF" w:rsidRDefault="00FE59E4" w:rsidP="00FE59E4">
      <w:pPr>
        <w:pStyle w:val="Citation"/>
        <w:rPr>
          <w:lang w:val="es-ES"/>
        </w:rPr>
      </w:pPr>
      <w:r w:rsidRPr="00C12CAF">
        <w:rPr>
          <w:lang w:val="es-ES"/>
        </w:rPr>
        <w:t>Dollar diplomacy: AP® US history crash course. (</w:t>
      </w:r>
      <w:r w:rsidR="00286B90">
        <w:rPr>
          <w:lang w:val="es-ES"/>
        </w:rPr>
        <w:t xml:space="preserve">1 de marzo de </w:t>
      </w:r>
      <w:r w:rsidRPr="00C12CAF">
        <w:rPr>
          <w:lang w:val="es-ES"/>
        </w:rPr>
        <w:t>2022). Albert – Learn by Doing. Re</w:t>
      </w:r>
      <w:r w:rsidR="00286B90">
        <w:rPr>
          <w:lang w:val="es-ES"/>
        </w:rPr>
        <w:t>cuperado el 24 de agosto de</w:t>
      </w:r>
      <w:r w:rsidRPr="00C12CAF">
        <w:rPr>
          <w:lang w:val="es-ES"/>
        </w:rPr>
        <w:t xml:space="preserve"> 2022, </w:t>
      </w:r>
      <w:r w:rsidR="00286B90">
        <w:rPr>
          <w:lang w:val="es-ES"/>
        </w:rPr>
        <w:t>de</w:t>
      </w:r>
      <w:r w:rsidRPr="00C12CAF">
        <w:rPr>
          <w:lang w:val="es-ES"/>
        </w:rPr>
        <w:t xml:space="preserve"> https://www.albert.io/blog/dollar-diplomacy-ap-us-history-crash-course/</w:t>
      </w:r>
    </w:p>
    <w:p w14:paraId="58ABC83F" w14:textId="125CE879" w:rsidR="00D91554" w:rsidRPr="00C12CAF" w:rsidRDefault="00DE366F" w:rsidP="00FE59E4">
      <w:pPr>
        <w:pStyle w:val="Citation"/>
        <w:rPr>
          <w:lang w:val="es-ES"/>
        </w:rPr>
      </w:pPr>
      <w:r w:rsidRPr="00C12CAF">
        <w:rPr>
          <w:lang w:val="es-ES"/>
        </w:rPr>
        <w:t xml:space="preserve">Taft and Wilson </w:t>
      </w:r>
      <w:r w:rsidR="00387007" w:rsidRPr="00C12CAF">
        <w:rPr>
          <w:lang w:val="es-ES"/>
        </w:rPr>
        <w:t>–</w:t>
      </w:r>
      <w:r w:rsidRPr="00C12CAF">
        <w:rPr>
          <w:lang w:val="es-ES"/>
        </w:rPr>
        <w:t xml:space="preserve"> </w:t>
      </w:r>
      <w:r w:rsidR="00387007" w:rsidRPr="00C12CAF">
        <w:rPr>
          <w:lang w:val="es-ES"/>
        </w:rPr>
        <w:t>AP</w:t>
      </w:r>
      <w:r w:rsidRPr="00C12CAF">
        <w:rPr>
          <w:lang w:val="es-ES"/>
        </w:rPr>
        <w:t xml:space="preserve"> U.S. history notes. (</w:t>
      </w:r>
      <w:r w:rsidR="00286B90">
        <w:rPr>
          <w:lang w:val="es-ES"/>
        </w:rPr>
        <w:t>s</w:t>
      </w:r>
      <w:r w:rsidRPr="00C12CAF">
        <w:rPr>
          <w:lang w:val="es-ES"/>
        </w:rPr>
        <w:t>.</w:t>
      </w:r>
      <w:r w:rsidR="00286B90">
        <w:rPr>
          <w:lang w:val="es-ES"/>
        </w:rPr>
        <w:t>f</w:t>
      </w:r>
      <w:r w:rsidRPr="00C12CAF">
        <w:rPr>
          <w:lang w:val="es-ES"/>
        </w:rPr>
        <w:t xml:space="preserve">.). </w:t>
      </w:r>
      <w:r w:rsidR="00387007" w:rsidRPr="00C12CAF">
        <w:rPr>
          <w:lang w:val="es-ES"/>
        </w:rPr>
        <w:t xml:space="preserve">Study Notes. </w:t>
      </w:r>
      <w:r w:rsidRPr="00C12CAF">
        <w:rPr>
          <w:lang w:val="es-ES"/>
        </w:rPr>
        <w:t>Re</w:t>
      </w:r>
      <w:r w:rsidR="00286B90">
        <w:rPr>
          <w:lang w:val="es-ES"/>
        </w:rPr>
        <w:t>cuperado</w:t>
      </w:r>
      <w:r w:rsidRPr="00C12CAF">
        <w:rPr>
          <w:lang w:val="es-ES"/>
        </w:rPr>
        <w:t xml:space="preserve"> </w:t>
      </w:r>
      <w:r w:rsidR="00286B90">
        <w:rPr>
          <w:lang w:val="es-ES"/>
        </w:rPr>
        <w:t>el 24 de agosto de</w:t>
      </w:r>
      <w:r w:rsidRPr="00C12CAF">
        <w:rPr>
          <w:lang w:val="es-ES"/>
        </w:rPr>
        <w:t xml:space="preserve"> 2022, </w:t>
      </w:r>
      <w:r w:rsidR="00286B90">
        <w:rPr>
          <w:lang w:val="es-ES"/>
        </w:rPr>
        <w:t>de</w:t>
      </w:r>
      <w:r w:rsidRPr="00C12CAF">
        <w:rPr>
          <w:lang w:val="es-ES"/>
        </w:rPr>
        <w:t xml:space="preserve"> https://www.apstudynotes.org/us-history/topics/taft-and-wilson/ </w:t>
      </w:r>
      <w:r w:rsidR="00D91554" w:rsidRPr="00C12CAF">
        <w:rPr>
          <w:lang w:val="es-ES"/>
        </w:rPr>
        <w:br w:type="page"/>
      </w:r>
    </w:p>
    <w:p w14:paraId="29618F5B" w14:textId="6D55DF70" w:rsidR="00AB3263" w:rsidRPr="00C12CAF" w:rsidRDefault="00D60BC4" w:rsidP="00AB3263">
      <w:pPr>
        <w:pStyle w:val="Title"/>
        <w:rPr>
          <w:sz w:val="28"/>
          <w:szCs w:val="28"/>
          <w:lang w:val="es-ES"/>
        </w:rPr>
      </w:pPr>
      <w:r>
        <w:rPr>
          <w:sz w:val="28"/>
          <w:szCs w:val="28"/>
          <w:lang w:val="es-ES"/>
        </w:rPr>
        <w:lastRenderedPageBreak/>
        <w:t>diplomacia misionera</w:t>
      </w:r>
    </w:p>
    <w:p w14:paraId="594BBD58" w14:textId="4A8409C5" w:rsidR="00453F93" w:rsidRPr="00C12CAF" w:rsidRDefault="00D60BC4" w:rsidP="00897089">
      <w:pPr>
        <w:pStyle w:val="BodyText"/>
        <w:ind w:firstLine="720"/>
        <w:rPr>
          <w:lang w:val="es-ES"/>
        </w:rPr>
      </w:pPr>
      <w:r w:rsidRPr="00D60BC4">
        <w:rPr>
          <w:lang w:val="es-ES"/>
        </w:rPr>
        <w:t>Woodrow Wilson fue presidente de 1913 a 1921 y es más conocido como el presidente durante la Primera Guerra Mundial. Wilson consideraba la diplomacia del dólar como una forma materialista de llevar a cabo la diplomacia, y en su lugar quería utilizar principios morales para guiar su política exterior. Wilson quería que los países de todo el mundo adoptaran e implementaran la democracia y utilizó su diplomacia con ese fin.</w:t>
      </w:r>
      <w:r>
        <w:rPr>
          <w:lang w:val="es-ES"/>
        </w:rPr>
        <w:t xml:space="preserve"> </w:t>
      </w:r>
    </w:p>
    <w:p w14:paraId="6EA537EC" w14:textId="2FBEA60D" w:rsidR="00583C5B" w:rsidRPr="00C12CAF" w:rsidRDefault="00D60BC4" w:rsidP="00897089">
      <w:pPr>
        <w:pStyle w:val="BodyText"/>
        <w:ind w:firstLine="720"/>
        <w:rPr>
          <w:lang w:val="es-ES"/>
        </w:rPr>
      </w:pPr>
      <w:r w:rsidRPr="00D60BC4">
        <w:rPr>
          <w:lang w:val="es-ES"/>
        </w:rPr>
        <w:t xml:space="preserve">Durante su presidencia, Wilson trabajó con el Congreso para dar a Filipinas más independencia de Estados Unidos, estableciendo un senado formado por personas que vivían en Filipinas. Esto allanó el camino para que Filipinas fuera un país completamente independiente en 1946. Wilson también convirtió a Puerto Rico en un territorio estadounidense, lo </w:t>
      </w:r>
      <w:r w:rsidR="00D94AC6">
        <w:rPr>
          <w:lang w:val="es-ES"/>
        </w:rPr>
        <w:t xml:space="preserve">cual convirtió a </w:t>
      </w:r>
      <w:r w:rsidRPr="00D60BC4">
        <w:rPr>
          <w:lang w:val="es-ES"/>
        </w:rPr>
        <w:t xml:space="preserve">los habitantes de Puerto Rico en ciudadanos estadounidenses. Sin embargo, esto contrasta con la decisión de Wilson de comprar la colonia de las Indias Occidentales danesas </w:t>
      </w:r>
      <w:r w:rsidR="00DB7F0A">
        <w:rPr>
          <w:lang w:val="es-ES"/>
        </w:rPr>
        <w:t>de</w:t>
      </w:r>
      <w:r w:rsidRPr="00D60BC4">
        <w:rPr>
          <w:lang w:val="es-ES"/>
        </w:rPr>
        <w:t xml:space="preserve"> Dinamarca, convirtiéndola en un territorio estadounidense llamado Islas Vírgenes.</w:t>
      </w:r>
    </w:p>
    <w:p w14:paraId="3A630632" w14:textId="487A5680" w:rsidR="00FF7F73" w:rsidRPr="00C12CAF" w:rsidRDefault="00DB7F0A" w:rsidP="00897089">
      <w:pPr>
        <w:pStyle w:val="BodyText"/>
        <w:ind w:firstLine="720"/>
        <w:rPr>
          <w:lang w:val="es-ES"/>
        </w:rPr>
      </w:pPr>
      <w:r w:rsidRPr="00DB7F0A">
        <w:rPr>
          <w:lang w:val="es-ES"/>
        </w:rPr>
        <w:t>Wilson también intervino en gobiernos de países latinoamericanos, enviando tropas a Haití y la República Dominicana para reprimir rebeliones. Como quería que todos los países tuvieran la democracia como forma de gobierno, dejó tropas estadounidenses en ambos países con la intención de establecer democracias, pero estos esfuerzos no tuvieron éxito. Wilson tampoco apoyó el gobierno de un dictador en México, el general Victoriano Huerta. Se enfrentó a Huerta en múltiples ocasiones y, en un momento, envió tropas estadounidenses a ocupar la ciudad de Veracruz. Un par de años más tarde, Wilson envió tropas a México para perseguir a Pancho Villa después de que éste matara a varios estadounidenses en Nuevo México. Sin embargo, las tropas estadounidenses no pudieron capturar a Villa.</w:t>
      </w:r>
      <w:r>
        <w:rPr>
          <w:lang w:val="es-ES"/>
        </w:rPr>
        <w:t xml:space="preserve"> </w:t>
      </w:r>
    </w:p>
    <w:p w14:paraId="07C8A99E" w14:textId="2A29301A" w:rsidR="00AB363B" w:rsidRPr="00C12CAF" w:rsidRDefault="004D0394" w:rsidP="00897089">
      <w:pPr>
        <w:pStyle w:val="BodyText"/>
        <w:ind w:firstLine="720"/>
        <w:rPr>
          <w:lang w:val="es-ES"/>
        </w:rPr>
      </w:pPr>
      <w:r w:rsidRPr="004D0394">
        <w:rPr>
          <w:lang w:val="es-ES"/>
        </w:rPr>
        <w:t xml:space="preserve">Cuando comenzó la Primera Guerra Mundial en 1914, Wilson intentó mantenerse neutral. Aunque Wilson no quería enviar tropas estadounidenses a Europa, apoyó a Gran Bretaña y Francia vendiéndoles armas. Wilson trató de evitar ir a la guerra incluso después de que Alemania hundiera varios barcos estadounidenses, así como un ataque al barco británico </w:t>
      </w:r>
      <w:r w:rsidRPr="00FB2517">
        <w:rPr>
          <w:i/>
          <w:iCs/>
          <w:lang w:val="es-ES"/>
        </w:rPr>
        <w:t>Lusitania</w:t>
      </w:r>
      <w:r w:rsidRPr="004D0394">
        <w:rPr>
          <w:lang w:val="es-ES"/>
        </w:rPr>
        <w:t xml:space="preserve"> que mató a 128 estadounidenses.</w:t>
      </w:r>
      <w:r>
        <w:rPr>
          <w:lang w:val="es-ES"/>
        </w:rPr>
        <w:t xml:space="preserve"> </w:t>
      </w:r>
    </w:p>
    <w:p w14:paraId="00A1C762" w14:textId="77E6D5CF" w:rsidR="00897089" w:rsidRPr="00C12CAF" w:rsidRDefault="00FB2517" w:rsidP="00C407CF">
      <w:pPr>
        <w:pStyle w:val="BodyText"/>
        <w:ind w:firstLine="720"/>
        <w:rPr>
          <w:lang w:val="es-ES"/>
        </w:rPr>
      </w:pPr>
      <w:r w:rsidRPr="00FB2517">
        <w:rPr>
          <w:lang w:val="es-ES"/>
        </w:rPr>
        <w:t xml:space="preserve">En 1917, Wilson </w:t>
      </w:r>
      <w:r w:rsidR="00A15638">
        <w:rPr>
          <w:lang w:val="es-ES"/>
        </w:rPr>
        <w:t xml:space="preserve">le </w:t>
      </w:r>
      <w:r w:rsidRPr="00FB2517">
        <w:rPr>
          <w:lang w:val="es-ES"/>
        </w:rPr>
        <w:t xml:space="preserve">pidió al Congreso que declarara la guerra a Alemania después de que los británicos interceptaran un telegrama que iba dirigido a funcionarios mexicanos. Conocido como el Telegrama Zimmermann, era una propuesta de Alemania para que sus tropas invadieran Estados Unidos desde México. Si Estados Unidos era derrotado, Alemania se aseguraría de devolver a México las tierras que había perdido en la Guerra </w:t>
      </w:r>
      <w:r w:rsidR="00A15638">
        <w:rPr>
          <w:lang w:val="es-ES"/>
        </w:rPr>
        <w:t>m</w:t>
      </w:r>
      <w:r w:rsidR="00A15638" w:rsidRPr="00FB2517">
        <w:rPr>
          <w:lang w:val="es-ES"/>
        </w:rPr>
        <w:t>exic</w:t>
      </w:r>
      <w:r w:rsidR="00A15638">
        <w:rPr>
          <w:lang w:val="es-ES"/>
        </w:rPr>
        <w:t>ano</w:t>
      </w:r>
      <w:r w:rsidRPr="00FB2517">
        <w:rPr>
          <w:lang w:val="es-ES"/>
        </w:rPr>
        <w:t>-</w:t>
      </w:r>
      <w:r w:rsidR="00A15638">
        <w:rPr>
          <w:lang w:val="es-ES"/>
        </w:rPr>
        <w:t>e</w:t>
      </w:r>
      <w:r w:rsidRPr="00FB2517">
        <w:rPr>
          <w:lang w:val="es-ES"/>
        </w:rPr>
        <w:t>stado</w:t>
      </w:r>
      <w:r w:rsidR="00A15638">
        <w:rPr>
          <w:lang w:val="es-ES"/>
        </w:rPr>
        <w:t>u</w:t>
      </w:r>
      <w:r w:rsidRPr="00FB2517">
        <w:rPr>
          <w:lang w:val="es-ES"/>
        </w:rPr>
        <w:t>nid</w:t>
      </w:r>
      <w:r w:rsidR="00A15638">
        <w:rPr>
          <w:lang w:val="es-ES"/>
        </w:rPr>
        <w:t>ense</w:t>
      </w:r>
      <w:r w:rsidRPr="00FB2517">
        <w:rPr>
          <w:lang w:val="es-ES"/>
        </w:rPr>
        <w:t>. Para explicar su motivación para unirse a la guerra, Wilson dijo al pueblo estadounidense que quería hacer del mundo un lugar seguro para la democracia. La incorporación de tropas estadounidenses en Europa ayudó a derrotar a Alemania a finales de 1918.</w:t>
      </w:r>
      <w:r w:rsidR="00B71678" w:rsidRPr="00C12CAF">
        <w:rPr>
          <w:lang w:val="es-ES"/>
        </w:rPr>
        <w:t xml:space="preserve"> </w:t>
      </w:r>
    </w:p>
    <w:p w14:paraId="4DF2A765" w14:textId="77777777" w:rsidR="00B274F6" w:rsidRPr="00C12CAF" w:rsidRDefault="00B274F6" w:rsidP="00FD13A4">
      <w:pPr>
        <w:pStyle w:val="Citation"/>
        <w:rPr>
          <w:lang w:val="es-ES"/>
        </w:rPr>
      </w:pPr>
    </w:p>
    <w:p w14:paraId="2C1D0DAC" w14:textId="167BBF41" w:rsidR="00040379" w:rsidRPr="00C12CAF" w:rsidRDefault="00B71678" w:rsidP="00FD13A4">
      <w:pPr>
        <w:pStyle w:val="Citation"/>
        <w:rPr>
          <w:lang w:val="es-ES"/>
        </w:rPr>
      </w:pPr>
      <w:r w:rsidRPr="00C12CAF">
        <w:rPr>
          <w:lang w:val="es-ES"/>
        </w:rPr>
        <w:t>Ambar, S.</w:t>
      </w:r>
      <w:r w:rsidR="000D3275" w:rsidRPr="00C12CAF">
        <w:rPr>
          <w:lang w:val="es-ES"/>
        </w:rPr>
        <w:t xml:space="preserve"> </w:t>
      </w:r>
      <w:r w:rsidRPr="00C12CAF">
        <w:rPr>
          <w:lang w:val="es-ES"/>
        </w:rPr>
        <w:t>(</w:t>
      </w:r>
      <w:r w:rsidR="00A15638">
        <w:rPr>
          <w:lang w:val="es-ES"/>
        </w:rPr>
        <w:t>s</w:t>
      </w:r>
      <w:r w:rsidR="000D3275" w:rsidRPr="00C12CAF">
        <w:rPr>
          <w:lang w:val="es-ES"/>
        </w:rPr>
        <w:t>.</w:t>
      </w:r>
      <w:r w:rsidR="00A15638">
        <w:rPr>
          <w:lang w:val="es-ES"/>
        </w:rPr>
        <w:t>f</w:t>
      </w:r>
      <w:r w:rsidR="000D3275" w:rsidRPr="00C12CAF">
        <w:rPr>
          <w:lang w:val="es-ES"/>
        </w:rPr>
        <w:t>.</w:t>
      </w:r>
      <w:r w:rsidRPr="00C12CAF">
        <w:rPr>
          <w:lang w:val="es-ES"/>
        </w:rPr>
        <w:t xml:space="preserve">). </w:t>
      </w:r>
      <w:r w:rsidRPr="00C12CAF">
        <w:rPr>
          <w:iCs/>
          <w:lang w:val="es-ES"/>
        </w:rPr>
        <w:t>Woodrow Wilson: Foreign affairs</w:t>
      </w:r>
      <w:r w:rsidRPr="00C12CAF">
        <w:rPr>
          <w:lang w:val="es-ES"/>
        </w:rPr>
        <w:t>. Miller Center. Re</w:t>
      </w:r>
      <w:r w:rsidR="00A15638">
        <w:rPr>
          <w:lang w:val="es-ES"/>
        </w:rPr>
        <w:t>cuperado el 25 de agosto de</w:t>
      </w:r>
      <w:r w:rsidRPr="00C12CAF">
        <w:rPr>
          <w:lang w:val="es-ES"/>
        </w:rPr>
        <w:t xml:space="preserve"> 2022, </w:t>
      </w:r>
      <w:r w:rsidR="00A15638">
        <w:rPr>
          <w:lang w:val="es-ES"/>
        </w:rPr>
        <w:t>de</w:t>
      </w:r>
      <w:r w:rsidRPr="00C12CAF">
        <w:rPr>
          <w:lang w:val="es-ES"/>
        </w:rPr>
        <w:t xml:space="preserve"> https://millercenter.org/president/wilson/foreign-affairs </w:t>
      </w:r>
    </w:p>
    <w:sectPr w:rsidR="00040379" w:rsidRPr="00C12CAF" w:rsidSect="005D72CF">
      <w:headerReference w:type="even" r:id="rId9"/>
      <w:headerReference w:type="default" r:id="rId10"/>
      <w:footerReference w:type="default" r:id="rId11"/>
      <w:headerReference w:type="first" r:id="rId12"/>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EE4A" w14:textId="77777777" w:rsidR="0043103D" w:rsidRDefault="0043103D">
      <w:pPr>
        <w:spacing w:after="0" w:line="240" w:lineRule="auto"/>
      </w:pPr>
      <w:r>
        <w:separator/>
      </w:r>
    </w:p>
  </w:endnote>
  <w:endnote w:type="continuationSeparator" w:id="0">
    <w:p w14:paraId="0DE263F3" w14:textId="77777777" w:rsidR="0043103D" w:rsidRDefault="0043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E6FA" w14:textId="1F482EB0" w:rsidR="00C94171" w:rsidRDefault="00D9155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0216E0D" wp14:editId="75C2B3F4">
              <wp:simplePos x="0" y="0"/>
              <wp:positionH relativeFrom="column">
                <wp:posOffset>1894840</wp:posOffset>
              </wp:positionH>
              <wp:positionV relativeFrom="paragraph">
                <wp:posOffset>-59055</wp:posOffset>
              </wp:positionV>
              <wp:extent cx="4010025" cy="303530"/>
              <wp:effectExtent l="0" t="0" r="0" b="1270"/>
              <wp:wrapNone/>
              <wp:docPr id="11" name="Rectangle 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29DE7B67" w14:textId="45C69FD4" w:rsidR="00C94171" w:rsidRDefault="00DD767B">
                          <w:pPr>
                            <w:spacing w:after="0" w:line="240" w:lineRule="auto"/>
                            <w:jc w:val="right"/>
                            <w:textDirection w:val="btLr"/>
                          </w:pPr>
                          <w:r>
                            <w:rPr>
                              <w:b/>
                              <w:smallCaps/>
                              <w:color w:val="2D2D2D"/>
                              <w:sz w:val="22"/>
                            </w:rPr>
                            <w:t xml:space="preserve">DISSECTING DIPLOMACY </w:t>
                          </w:r>
                        </w:p>
                      </w:txbxContent>
                    </wps:txbx>
                    <wps:bodyPr spcFirstLastPara="1" wrap="square" lIns="91425" tIns="45700" rIns="91425" bIns="45700" anchor="t" anchorCtr="0">
                      <a:noAutofit/>
                    </wps:bodyPr>
                  </wps:wsp>
                </a:graphicData>
              </a:graphic>
            </wp:anchor>
          </w:drawing>
        </mc:Choice>
        <mc:Fallback>
          <w:pict>
            <v:rect w14:anchorId="30216E0D" id="Rectangle 11" o:spid="_x0000_s1026" style="position:absolute;margin-left:149.2pt;margin-top:-4.6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" filled="f" stroked="f">
              <v:textbox inset="2.53958mm,1.2694mm,2.53958mm,1.2694mm">
                <w:txbxContent>
                  <w:p w14:paraId="29DE7B67" w14:textId="45C69FD4" w:rsidR="00C94171" w:rsidRDefault="00DD767B">
                    <w:pPr>
                      <w:spacing w:after="0" w:line="240" w:lineRule="auto"/>
                      <w:jc w:val="right"/>
                      <w:textDirection w:val="btLr"/>
                    </w:pPr>
                    <w:r>
                      <w:rPr>
                        <w:b/>
                        <w:smallCaps/>
                        <w:color w:val="2D2D2D"/>
                        <w:sz w:val="22"/>
                      </w:rPr>
                      <w:t xml:space="preserve">DISSECTING DIPLOMACY </w:t>
                    </w:r>
                  </w:p>
                </w:txbxContent>
              </v:textbox>
            </v:rect>
          </w:pict>
        </mc:Fallback>
      </mc:AlternateContent>
    </w:r>
    <w:r>
      <w:rPr>
        <w:noProof/>
      </w:rPr>
      <w:drawing>
        <wp:anchor distT="0" distB="0" distL="0" distR="0" simplePos="0" relativeHeight="251658240" behindDoc="0" locked="0" layoutInCell="1" hidden="0" allowOverlap="1" wp14:anchorId="67BE7279" wp14:editId="3B84EE9C">
          <wp:simplePos x="0" y="0"/>
          <wp:positionH relativeFrom="column">
            <wp:posOffset>1809750</wp:posOffset>
          </wp:positionH>
          <wp:positionV relativeFrom="paragraph">
            <wp:posOffset>-16206</wp:posOffset>
          </wp:positionV>
          <wp:extent cx="4572000" cy="316865"/>
          <wp:effectExtent l="0" t="0" r="0" b="6985"/>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1BAA" w14:textId="77777777" w:rsidR="0043103D" w:rsidRDefault="0043103D">
      <w:pPr>
        <w:spacing w:after="0" w:line="240" w:lineRule="auto"/>
      </w:pPr>
      <w:r>
        <w:separator/>
      </w:r>
    </w:p>
  </w:footnote>
  <w:footnote w:type="continuationSeparator" w:id="0">
    <w:p w14:paraId="6C738505" w14:textId="77777777" w:rsidR="0043103D" w:rsidRDefault="00431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127D" w14:textId="77777777" w:rsidR="0023468F" w:rsidRDefault="00234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0408" w14:textId="77777777" w:rsidR="0023468F" w:rsidRDefault="00234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A854" w14:textId="77777777" w:rsidR="0023468F" w:rsidRDefault="00234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120"/>
    <w:multiLevelType w:val="multilevel"/>
    <w:tmpl w:val="127CA162"/>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210529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71"/>
    <w:rsid w:val="000030E6"/>
    <w:rsid w:val="000038E1"/>
    <w:rsid w:val="000133B7"/>
    <w:rsid w:val="00016F67"/>
    <w:rsid w:val="00020985"/>
    <w:rsid w:val="000224F7"/>
    <w:rsid w:val="000239D0"/>
    <w:rsid w:val="00040379"/>
    <w:rsid w:val="00046A13"/>
    <w:rsid w:val="000530C5"/>
    <w:rsid w:val="000554BF"/>
    <w:rsid w:val="00055D78"/>
    <w:rsid w:val="00062777"/>
    <w:rsid w:val="0007023F"/>
    <w:rsid w:val="00075929"/>
    <w:rsid w:val="00091B94"/>
    <w:rsid w:val="000A369A"/>
    <w:rsid w:val="000D1CB7"/>
    <w:rsid w:val="000D3275"/>
    <w:rsid w:val="000F376E"/>
    <w:rsid w:val="000F3E6C"/>
    <w:rsid w:val="000F570D"/>
    <w:rsid w:val="001366F4"/>
    <w:rsid w:val="00161C4A"/>
    <w:rsid w:val="00163CFE"/>
    <w:rsid w:val="0017174B"/>
    <w:rsid w:val="00173DE3"/>
    <w:rsid w:val="00184DDD"/>
    <w:rsid w:val="001B6506"/>
    <w:rsid w:val="001D1C65"/>
    <w:rsid w:val="001D2EF4"/>
    <w:rsid w:val="001D6F6F"/>
    <w:rsid w:val="001F5BB5"/>
    <w:rsid w:val="001F6ACA"/>
    <w:rsid w:val="00201FCC"/>
    <w:rsid w:val="00225925"/>
    <w:rsid w:val="0023468F"/>
    <w:rsid w:val="0023607E"/>
    <w:rsid w:val="0025197A"/>
    <w:rsid w:val="00253FEC"/>
    <w:rsid w:val="002571CC"/>
    <w:rsid w:val="00267A60"/>
    <w:rsid w:val="00277B4C"/>
    <w:rsid w:val="00286906"/>
    <w:rsid w:val="00286B90"/>
    <w:rsid w:val="0029259B"/>
    <w:rsid w:val="0029775C"/>
    <w:rsid w:val="002A4A8A"/>
    <w:rsid w:val="002D17B9"/>
    <w:rsid w:val="002D42F2"/>
    <w:rsid w:val="002F68EF"/>
    <w:rsid w:val="0031050F"/>
    <w:rsid w:val="003105C2"/>
    <w:rsid w:val="003109AC"/>
    <w:rsid w:val="00317754"/>
    <w:rsid w:val="003223E2"/>
    <w:rsid w:val="00334B31"/>
    <w:rsid w:val="00336404"/>
    <w:rsid w:val="003751BE"/>
    <w:rsid w:val="00387007"/>
    <w:rsid w:val="003A2BD2"/>
    <w:rsid w:val="003A58F4"/>
    <w:rsid w:val="003A70FC"/>
    <w:rsid w:val="003C1C39"/>
    <w:rsid w:val="003D3017"/>
    <w:rsid w:val="003E21E9"/>
    <w:rsid w:val="003F0843"/>
    <w:rsid w:val="00401157"/>
    <w:rsid w:val="0040471C"/>
    <w:rsid w:val="00412897"/>
    <w:rsid w:val="00415025"/>
    <w:rsid w:val="00423D3C"/>
    <w:rsid w:val="00424766"/>
    <w:rsid w:val="0043103D"/>
    <w:rsid w:val="00451AAC"/>
    <w:rsid w:val="00453F93"/>
    <w:rsid w:val="004A4E06"/>
    <w:rsid w:val="004B2CFE"/>
    <w:rsid w:val="004D0394"/>
    <w:rsid w:val="004E65A1"/>
    <w:rsid w:val="004F7391"/>
    <w:rsid w:val="00500884"/>
    <w:rsid w:val="00500E7E"/>
    <w:rsid w:val="00514BB8"/>
    <w:rsid w:val="0052135A"/>
    <w:rsid w:val="0052593C"/>
    <w:rsid w:val="00525A80"/>
    <w:rsid w:val="00526B12"/>
    <w:rsid w:val="00575EA6"/>
    <w:rsid w:val="00583C40"/>
    <w:rsid w:val="00583C5B"/>
    <w:rsid w:val="00586D8F"/>
    <w:rsid w:val="005944E3"/>
    <w:rsid w:val="005A40A1"/>
    <w:rsid w:val="005A6E55"/>
    <w:rsid w:val="005C102F"/>
    <w:rsid w:val="005D72CF"/>
    <w:rsid w:val="005F144F"/>
    <w:rsid w:val="005F5C60"/>
    <w:rsid w:val="00616EFC"/>
    <w:rsid w:val="006200C4"/>
    <w:rsid w:val="00662BB7"/>
    <w:rsid w:val="00682DBC"/>
    <w:rsid w:val="006868F6"/>
    <w:rsid w:val="0069230B"/>
    <w:rsid w:val="006A46AB"/>
    <w:rsid w:val="006A5D26"/>
    <w:rsid w:val="006D690A"/>
    <w:rsid w:val="006D72C7"/>
    <w:rsid w:val="006E4D19"/>
    <w:rsid w:val="00711926"/>
    <w:rsid w:val="00730752"/>
    <w:rsid w:val="00732982"/>
    <w:rsid w:val="00741512"/>
    <w:rsid w:val="00742A0C"/>
    <w:rsid w:val="007642D9"/>
    <w:rsid w:val="007719F7"/>
    <w:rsid w:val="007813FF"/>
    <w:rsid w:val="007B6153"/>
    <w:rsid w:val="007B6202"/>
    <w:rsid w:val="007C07E5"/>
    <w:rsid w:val="007D7641"/>
    <w:rsid w:val="007E20A8"/>
    <w:rsid w:val="007E2C16"/>
    <w:rsid w:val="008166D7"/>
    <w:rsid w:val="00816F5F"/>
    <w:rsid w:val="008259E5"/>
    <w:rsid w:val="00836735"/>
    <w:rsid w:val="00861CBB"/>
    <w:rsid w:val="00863D8A"/>
    <w:rsid w:val="00897089"/>
    <w:rsid w:val="008A5F75"/>
    <w:rsid w:val="008E4EA1"/>
    <w:rsid w:val="008F6400"/>
    <w:rsid w:val="008F7A2A"/>
    <w:rsid w:val="0091424B"/>
    <w:rsid w:val="00914D6F"/>
    <w:rsid w:val="00950F3F"/>
    <w:rsid w:val="00953E2D"/>
    <w:rsid w:val="00974AD7"/>
    <w:rsid w:val="009849F8"/>
    <w:rsid w:val="00985031"/>
    <w:rsid w:val="009B1159"/>
    <w:rsid w:val="009B1AC5"/>
    <w:rsid w:val="009C36DC"/>
    <w:rsid w:val="009C61A3"/>
    <w:rsid w:val="009C634D"/>
    <w:rsid w:val="009D04B4"/>
    <w:rsid w:val="009E75FF"/>
    <w:rsid w:val="00A058E3"/>
    <w:rsid w:val="00A15638"/>
    <w:rsid w:val="00A17995"/>
    <w:rsid w:val="00A27297"/>
    <w:rsid w:val="00A3348A"/>
    <w:rsid w:val="00A44810"/>
    <w:rsid w:val="00A60461"/>
    <w:rsid w:val="00A64275"/>
    <w:rsid w:val="00A72430"/>
    <w:rsid w:val="00A9511F"/>
    <w:rsid w:val="00AB3263"/>
    <w:rsid w:val="00AB363B"/>
    <w:rsid w:val="00AF4ACF"/>
    <w:rsid w:val="00B274F6"/>
    <w:rsid w:val="00B33651"/>
    <w:rsid w:val="00B34D1C"/>
    <w:rsid w:val="00B36F59"/>
    <w:rsid w:val="00B43819"/>
    <w:rsid w:val="00B52C6C"/>
    <w:rsid w:val="00B71678"/>
    <w:rsid w:val="00B7341E"/>
    <w:rsid w:val="00B73833"/>
    <w:rsid w:val="00B774A1"/>
    <w:rsid w:val="00BB07A6"/>
    <w:rsid w:val="00BC2040"/>
    <w:rsid w:val="00BC43CA"/>
    <w:rsid w:val="00C00744"/>
    <w:rsid w:val="00C03358"/>
    <w:rsid w:val="00C12CAF"/>
    <w:rsid w:val="00C20FAF"/>
    <w:rsid w:val="00C2687C"/>
    <w:rsid w:val="00C36E68"/>
    <w:rsid w:val="00C407CF"/>
    <w:rsid w:val="00C427FE"/>
    <w:rsid w:val="00C5280B"/>
    <w:rsid w:val="00C73A76"/>
    <w:rsid w:val="00C764FD"/>
    <w:rsid w:val="00C87FA1"/>
    <w:rsid w:val="00C91E14"/>
    <w:rsid w:val="00C94171"/>
    <w:rsid w:val="00CD5378"/>
    <w:rsid w:val="00CE355E"/>
    <w:rsid w:val="00D07939"/>
    <w:rsid w:val="00D1125C"/>
    <w:rsid w:val="00D22D51"/>
    <w:rsid w:val="00D24670"/>
    <w:rsid w:val="00D60BC4"/>
    <w:rsid w:val="00D73CF3"/>
    <w:rsid w:val="00D7448D"/>
    <w:rsid w:val="00D80782"/>
    <w:rsid w:val="00D91554"/>
    <w:rsid w:val="00D942AB"/>
    <w:rsid w:val="00D94AC6"/>
    <w:rsid w:val="00DB30D9"/>
    <w:rsid w:val="00DB7F0A"/>
    <w:rsid w:val="00DD767B"/>
    <w:rsid w:val="00DE366F"/>
    <w:rsid w:val="00DE713F"/>
    <w:rsid w:val="00E0599E"/>
    <w:rsid w:val="00E111F7"/>
    <w:rsid w:val="00E2388F"/>
    <w:rsid w:val="00E44DA3"/>
    <w:rsid w:val="00E57039"/>
    <w:rsid w:val="00E67F88"/>
    <w:rsid w:val="00E7248A"/>
    <w:rsid w:val="00E971DC"/>
    <w:rsid w:val="00ED17C0"/>
    <w:rsid w:val="00ED287E"/>
    <w:rsid w:val="00EE5B95"/>
    <w:rsid w:val="00EF4200"/>
    <w:rsid w:val="00F2208E"/>
    <w:rsid w:val="00F36A0E"/>
    <w:rsid w:val="00F476AB"/>
    <w:rsid w:val="00F54893"/>
    <w:rsid w:val="00F57775"/>
    <w:rsid w:val="00F672D8"/>
    <w:rsid w:val="00F726FE"/>
    <w:rsid w:val="00F80775"/>
    <w:rsid w:val="00FA2D15"/>
    <w:rsid w:val="00FA6C81"/>
    <w:rsid w:val="00FB00A8"/>
    <w:rsid w:val="00FB2517"/>
    <w:rsid w:val="00FB4BD8"/>
    <w:rsid w:val="00FD13A4"/>
    <w:rsid w:val="00FE59E4"/>
    <w:rsid w:val="00FF0F5E"/>
    <w:rsid w:val="00FF13F3"/>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6C26"/>
  <w15:docId w15:val="{9AAB29FD-D18C-48E2-BDE8-5E04D6B1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1">
    <w:name w:val="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414">
      <w:bodyDiv w:val="1"/>
      <w:marLeft w:val="0"/>
      <w:marRight w:val="0"/>
      <w:marTop w:val="0"/>
      <w:marBottom w:val="0"/>
      <w:divBdr>
        <w:top w:val="none" w:sz="0" w:space="0" w:color="auto"/>
        <w:left w:val="none" w:sz="0" w:space="0" w:color="auto"/>
        <w:bottom w:val="none" w:sz="0" w:space="0" w:color="auto"/>
        <w:right w:val="none" w:sz="0" w:space="0" w:color="auto"/>
      </w:divBdr>
    </w:div>
    <w:div w:id="257567630">
      <w:bodyDiv w:val="1"/>
      <w:marLeft w:val="0"/>
      <w:marRight w:val="0"/>
      <w:marTop w:val="0"/>
      <w:marBottom w:val="0"/>
      <w:divBdr>
        <w:top w:val="none" w:sz="0" w:space="0" w:color="auto"/>
        <w:left w:val="none" w:sz="0" w:space="0" w:color="auto"/>
        <w:bottom w:val="none" w:sz="0" w:space="0" w:color="auto"/>
        <w:right w:val="none" w:sz="0" w:space="0" w:color="auto"/>
      </w:divBdr>
    </w:div>
    <w:div w:id="1355690953">
      <w:bodyDiv w:val="1"/>
      <w:marLeft w:val="0"/>
      <w:marRight w:val="0"/>
      <w:marTop w:val="0"/>
      <w:marBottom w:val="0"/>
      <w:divBdr>
        <w:top w:val="none" w:sz="0" w:space="0" w:color="auto"/>
        <w:left w:val="none" w:sz="0" w:space="0" w:color="auto"/>
        <w:bottom w:val="none" w:sz="0" w:space="0" w:color="auto"/>
        <w:right w:val="none" w:sz="0" w:space="0" w:color="auto"/>
      </w:divBdr>
    </w:div>
    <w:div w:id="1621569990">
      <w:bodyDiv w:val="1"/>
      <w:marLeft w:val="0"/>
      <w:marRight w:val="0"/>
      <w:marTop w:val="0"/>
      <w:marBottom w:val="0"/>
      <w:divBdr>
        <w:top w:val="none" w:sz="0" w:space="0" w:color="auto"/>
        <w:left w:val="none" w:sz="0" w:space="0" w:color="auto"/>
        <w:bottom w:val="none" w:sz="0" w:space="0" w:color="auto"/>
        <w:right w:val="none" w:sz="0" w:space="0" w:color="auto"/>
      </w:divBdr>
    </w:div>
    <w:div w:id="183757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AMUW2mUMjqTWMDAXpmQ3EzHHjAjDs4/TQFYZISawaSIy2FfmZjM5TflFc1GE8zFFaKRc7gSMw6+5noHMZdaX/eZp6ZUJC0HGYS74JbGfgyDorU1LF9krDOMeg0j7uz5I45QrINZmUrxM</go:docsCustomData>
</go:gDocsCustomXmlDataStorage>
</file>

<file path=customXml/itemProps1.xml><?xml version="1.0" encoding="utf-8"?>
<ds:datastoreItem xmlns:ds="http://schemas.openxmlformats.org/officeDocument/2006/customXml" ds:itemID="{F163D52E-31D3-4C6D-9F95-797EA00A18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Dissecting Diplomacy</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Dissecting Diplomacy</dc:title>
  <dc:subject/>
  <dc:creator>K20 Center</dc:creator>
  <cp:keywords/>
  <dc:description/>
  <cp:lastModifiedBy>Shogren, Caitlin E.</cp:lastModifiedBy>
  <cp:revision>166</cp:revision>
  <dcterms:created xsi:type="dcterms:W3CDTF">2022-09-29T16:24:00Z</dcterms:created>
  <dcterms:modified xsi:type="dcterms:W3CDTF">2022-10-03T21:40:00Z</dcterms:modified>
</cp:coreProperties>
</file>