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F4EDC9" w14:textId="497E9D50" w:rsidR="00C94171" w:rsidRPr="00E971DC" w:rsidRDefault="00AB3263">
      <w:pPr>
        <w:pStyle w:val="Title"/>
        <w:rPr>
          <w:sz w:val="28"/>
          <w:szCs w:val="28"/>
        </w:rPr>
      </w:pPr>
      <w:r w:rsidRPr="00E971DC">
        <w:rPr>
          <w:sz w:val="28"/>
          <w:szCs w:val="28"/>
        </w:rPr>
        <w:t>big stick diplom</w:t>
      </w:r>
      <w:r w:rsidR="00D91554" w:rsidRPr="00E971DC">
        <w:rPr>
          <w:sz w:val="28"/>
          <w:szCs w:val="28"/>
        </w:rPr>
        <w:t>a</w:t>
      </w:r>
      <w:r w:rsidRPr="00E971DC">
        <w:rPr>
          <w:sz w:val="28"/>
          <w:szCs w:val="28"/>
        </w:rPr>
        <w:t>cy</w:t>
      </w:r>
      <w:r w:rsidR="005A40A1" w:rsidRPr="00E971DC">
        <w:rPr>
          <w:sz w:val="28"/>
          <w:szCs w:val="28"/>
        </w:rPr>
        <w:t xml:space="preserve"> </w:t>
      </w:r>
    </w:p>
    <w:p w14:paraId="68226A62" w14:textId="5E7CBE18" w:rsidR="007D7641" w:rsidRPr="000239D0" w:rsidRDefault="00F476AB" w:rsidP="00897089">
      <w:pPr>
        <w:pBdr>
          <w:top w:val="nil"/>
          <w:left w:val="nil"/>
          <w:bottom w:val="nil"/>
          <w:right w:val="nil"/>
          <w:between w:val="nil"/>
        </w:pBdr>
        <w:ind w:firstLine="720"/>
      </w:pPr>
      <w:r w:rsidRPr="000239D0">
        <w:t>Theodore Roosevelt</w:t>
      </w:r>
      <w:r>
        <w:rPr>
          <w:sz w:val="22"/>
          <w:szCs w:val="22"/>
        </w:rPr>
        <w:t xml:space="preserve">, </w:t>
      </w:r>
      <w:r w:rsidRPr="000239D0">
        <w:t xml:space="preserve">better known as </w:t>
      </w:r>
      <w:r w:rsidR="00E67F88" w:rsidRPr="000239D0">
        <w:t>Teddy,</w:t>
      </w:r>
      <w:r w:rsidRPr="000239D0">
        <w:t xml:space="preserve"> </w:t>
      </w:r>
      <w:r w:rsidR="00974AD7">
        <w:t>was president from 1901</w:t>
      </w:r>
      <w:r w:rsidR="00D91554">
        <w:t xml:space="preserve"> to </w:t>
      </w:r>
      <w:r w:rsidR="00974AD7">
        <w:t>1909</w:t>
      </w:r>
      <w:r w:rsidR="00E67F88" w:rsidRPr="000239D0">
        <w:t>. America was a growing power during this time and had taken possession of the Philippines, Guam, Puerto Rico,</w:t>
      </w:r>
      <w:r w:rsidR="005A6E55" w:rsidRPr="000239D0">
        <w:t xml:space="preserve"> and Cuba from Spain </w:t>
      </w:r>
      <w:r w:rsidR="00D91554">
        <w:t>as a result of</w:t>
      </w:r>
      <w:r w:rsidR="005A6E55" w:rsidRPr="000239D0">
        <w:t xml:space="preserve"> the Spanish-American War. Roosevelt wanted to grow the United States into a</w:t>
      </w:r>
      <w:r w:rsidR="00D91554">
        <w:t>n international</w:t>
      </w:r>
      <w:r w:rsidR="005A6E55" w:rsidRPr="000239D0">
        <w:t xml:space="preserve"> </w:t>
      </w:r>
      <w:r w:rsidR="0031050F" w:rsidRPr="000239D0">
        <w:t>superpower</w:t>
      </w:r>
      <w:r w:rsidR="005A6E55" w:rsidRPr="000239D0">
        <w:t xml:space="preserve"> and </w:t>
      </w:r>
      <w:r w:rsidR="0031050F" w:rsidRPr="000239D0">
        <w:t xml:space="preserve">worked to achieve that goal during his presidency. </w:t>
      </w:r>
      <w:r w:rsidR="000239D0" w:rsidRPr="000239D0">
        <w:t>Known for liking the phrase, “Speak softly and carry a big stick</w:t>
      </w:r>
      <w:r w:rsidR="00D91554">
        <w:t>,</w:t>
      </w:r>
      <w:r w:rsidR="00A3348A">
        <w:t xml:space="preserve"> and you will go far</w:t>
      </w:r>
      <w:r w:rsidR="00D91554">
        <w:t>,</w:t>
      </w:r>
      <w:r w:rsidR="000239D0" w:rsidRPr="000239D0">
        <w:t>” Roosevelt use</w:t>
      </w:r>
      <w:r w:rsidR="00D91554">
        <w:t>d</w:t>
      </w:r>
      <w:r w:rsidR="000239D0" w:rsidRPr="000239D0">
        <w:t xml:space="preserve"> diplomacy to </w:t>
      </w:r>
      <w:r w:rsidR="00D91554">
        <w:t>increase</w:t>
      </w:r>
      <w:r w:rsidR="000239D0" w:rsidRPr="000239D0">
        <w:t xml:space="preserve"> the influence of the United States. </w:t>
      </w:r>
    </w:p>
    <w:p w14:paraId="5CEFBD36" w14:textId="4C61A0B2" w:rsidR="007D7641" w:rsidRPr="000239D0" w:rsidRDefault="007E20A8" w:rsidP="00897089">
      <w:pPr>
        <w:pStyle w:val="BodyText"/>
        <w:ind w:firstLine="720"/>
      </w:pPr>
      <w:r w:rsidRPr="000239D0">
        <w:t>Roosevelt also developed what is known as the R</w:t>
      </w:r>
      <w:r w:rsidR="007642D9" w:rsidRPr="000239D0">
        <w:t>oosevelt Corollary to the Monroe Doctrine. The Monroe Doctrine, put in place in 1823, said the United States would not let European countries create any new colonies in the Americas</w:t>
      </w:r>
      <w:r w:rsidR="00ED287E" w:rsidRPr="000239D0">
        <w:t xml:space="preserve">. The Roosevelt Corollary said the United States would be the “policeman” of the </w:t>
      </w:r>
      <w:r w:rsidR="00575EA6">
        <w:t>w</w:t>
      </w:r>
      <w:r w:rsidR="00ED287E" w:rsidRPr="000239D0">
        <w:t xml:space="preserve">estern </w:t>
      </w:r>
      <w:r w:rsidR="00575EA6">
        <w:t>h</w:t>
      </w:r>
      <w:r w:rsidR="00ED287E" w:rsidRPr="000239D0">
        <w:t xml:space="preserve">emisphere </w:t>
      </w:r>
      <w:r w:rsidR="000F376E" w:rsidRPr="000239D0">
        <w:t>and could intervene in Latin America</w:t>
      </w:r>
      <w:r w:rsidR="00575EA6">
        <w:t>n</w:t>
      </w:r>
      <w:r w:rsidR="000F376E" w:rsidRPr="000239D0">
        <w:t xml:space="preserve"> countries if they committed wrongdoings</w:t>
      </w:r>
      <w:r w:rsidR="00575EA6">
        <w:t>,</w:t>
      </w:r>
      <w:r w:rsidR="000F376E" w:rsidRPr="000239D0">
        <w:t xml:space="preserve"> such as not paying their debts to European governments. In 1904, he sent two ships to the Dominican Republic and persuaded the government to supervise debt repayments to France, Germany, and Italy. This would </w:t>
      </w:r>
      <w:r w:rsidR="00BC43CA">
        <w:t xml:space="preserve">later </w:t>
      </w:r>
      <w:r w:rsidR="000F376E" w:rsidRPr="000239D0">
        <w:t xml:space="preserve">happen again in Cuba, Nicaragua, Mexico, and Haiti. Roosevelt turned a doctrine that was designed to protect Latin American countries from European control into one that justified intervention by the United States. </w:t>
      </w:r>
    </w:p>
    <w:p w14:paraId="32225903" w14:textId="37F3F0FF" w:rsidR="000239D0" w:rsidRPr="000239D0" w:rsidRDefault="007D7641" w:rsidP="00897089">
      <w:pPr>
        <w:pStyle w:val="BodyText"/>
        <w:ind w:firstLine="720"/>
      </w:pPr>
      <w:r w:rsidRPr="000239D0">
        <w:t xml:space="preserve">The creation of the Panama Canal is one of Roosevelt’s best-known achievements. Colombia controlled Panama and </w:t>
      </w:r>
      <w:r w:rsidR="00863D8A">
        <w:t>refused to</w:t>
      </w:r>
      <w:r w:rsidRPr="000239D0">
        <w:t xml:space="preserve"> agree to the terms the United States offered for building the </w:t>
      </w:r>
      <w:r w:rsidR="004E65A1" w:rsidRPr="000239D0">
        <w:t>canal,</w:t>
      </w:r>
      <w:r w:rsidRPr="000239D0">
        <w:t xml:space="preserve"> so the United States supported </w:t>
      </w:r>
      <w:r w:rsidR="004E65A1" w:rsidRPr="000239D0">
        <w:t xml:space="preserve">Panama with money and a blockade to </w:t>
      </w:r>
      <w:r w:rsidR="00BB07A6">
        <w:t xml:space="preserve">enable </w:t>
      </w:r>
      <w:r w:rsidR="009C634D">
        <w:t>it</w:t>
      </w:r>
      <w:r w:rsidR="00BB07A6">
        <w:t xml:space="preserve"> to </w:t>
      </w:r>
      <w:r w:rsidR="004E65A1" w:rsidRPr="000239D0">
        <w:t xml:space="preserve">become independent from Colombia. After Panama gained independence, </w:t>
      </w:r>
      <w:r w:rsidR="009C634D">
        <w:t>it</w:t>
      </w:r>
      <w:r w:rsidR="004E65A1" w:rsidRPr="000239D0">
        <w:t xml:space="preserve"> agreed to let the United States build and control the canal for a price of $10 million and a yearly payment of $250,000. The United States </w:t>
      </w:r>
      <w:r w:rsidR="00500884">
        <w:t xml:space="preserve">transferred </w:t>
      </w:r>
      <w:r w:rsidR="00A44810">
        <w:t>control</w:t>
      </w:r>
      <w:r w:rsidR="00500884">
        <w:t xml:space="preserve"> of</w:t>
      </w:r>
      <w:r w:rsidR="004E65A1" w:rsidRPr="000239D0">
        <w:t xml:space="preserve"> the canal to Panama in 1999. </w:t>
      </w:r>
    </w:p>
    <w:p w14:paraId="5E17A47F" w14:textId="3DDDC851" w:rsidR="004E65A1" w:rsidRDefault="00A72430" w:rsidP="00897089">
      <w:pPr>
        <w:pStyle w:val="BodyText"/>
        <w:ind w:firstLine="720"/>
      </w:pPr>
      <w:r>
        <w:t xml:space="preserve">In 1906, </w:t>
      </w:r>
      <w:r w:rsidR="004E65A1" w:rsidRPr="000239D0">
        <w:t xml:space="preserve">Roosevelt was awarded the Nobel Peace Prize for his diplomatic work with Russia and Japan. </w:t>
      </w:r>
      <w:r w:rsidR="00616EFC">
        <w:t>Two years prior</w:t>
      </w:r>
      <w:r w:rsidR="004E65A1" w:rsidRPr="000239D0">
        <w:t xml:space="preserve">, he </w:t>
      </w:r>
      <w:r w:rsidR="00616EFC">
        <w:t>had</w:t>
      </w:r>
      <w:r w:rsidR="004E65A1" w:rsidRPr="000239D0">
        <w:t xml:space="preserve"> negotiate</w:t>
      </w:r>
      <w:r w:rsidR="00583C40">
        <w:t>d</w:t>
      </w:r>
      <w:r w:rsidR="004E65A1" w:rsidRPr="000239D0">
        <w:t xml:space="preserve"> a peace </w:t>
      </w:r>
      <w:r w:rsidR="008E4EA1">
        <w:t xml:space="preserve">treaty </w:t>
      </w:r>
      <w:r w:rsidR="004E65A1" w:rsidRPr="000239D0">
        <w:t xml:space="preserve">between the two countries </w:t>
      </w:r>
      <w:r w:rsidR="008E4EA1">
        <w:t>to</w:t>
      </w:r>
      <w:r w:rsidR="004E65A1" w:rsidRPr="000239D0">
        <w:t xml:space="preserve"> end the Russo-Japanese War. Roosevelt also helped France and Germany avoid</w:t>
      </w:r>
      <w:r w:rsidR="008E4EA1">
        <w:t xml:space="preserve"> a</w:t>
      </w:r>
      <w:r w:rsidR="004E65A1" w:rsidRPr="000239D0">
        <w:t xml:space="preserve"> conflict over which country </w:t>
      </w:r>
      <w:r w:rsidR="008E4EA1">
        <w:t>would get</w:t>
      </w:r>
      <w:r w:rsidR="004E65A1" w:rsidRPr="000239D0">
        <w:t xml:space="preserve"> control of Morocco. </w:t>
      </w:r>
    </w:p>
    <w:p w14:paraId="110D1C04" w14:textId="648B2B75" w:rsidR="00D91554" w:rsidRDefault="00D91554" w:rsidP="007D7641">
      <w:pPr>
        <w:pStyle w:val="BodyText"/>
      </w:pPr>
    </w:p>
    <w:p w14:paraId="4A0F09F6" w14:textId="77777777" w:rsidR="00D91554" w:rsidRPr="000239D0" w:rsidRDefault="00D91554" w:rsidP="007D7641">
      <w:pPr>
        <w:pStyle w:val="BodyText"/>
      </w:pPr>
    </w:p>
    <w:p w14:paraId="23F4CB08" w14:textId="011DCA8D" w:rsidR="00897089" w:rsidRDefault="00897089" w:rsidP="00897089">
      <w:pPr>
        <w:pStyle w:val="FootnoteText"/>
      </w:pPr>
    </w:p>
    <w:p w14:paraId="6EF03220" w14:textId="54D052D8" w:rsidR="00897089" w:rsidRDefault="00897089" w:rsidP="00897089">
      <w:pPr>
        <w:pStyle w:val="FootnoteText"/>
      </w:pPr>
    </w:p>
    <w:p w14:paraId="570708E6" w14:textId="43ED56FE" w:rsidR="0052135A" w:rsidRDefault="0052135A" w:rsidP="00897089">
      <w:pPr>
        <w:pStyle w:val="FootnoteText"/>
      </w:pPr>
    </w:p>
    <w:p w14:paraId="032F1649" w14:textId="77777777" w:rsidR="0052135A" w:rsidRPr="00897089" w:rsidRDefault="0052135A" w:rsidP="00897089">
      <w:pPr>
        <w:pStyle w:val="FootnoteText"/>
      </w:pPr>
    </w:p>
    <w:p w14:paraId="31846994" w14:textId="1DB00280" w:rsidR="0052135A" w:rsidRDefault="0052135A" w:rsidP="009849F8">
      <w:pPr>
        <w:pStyle w:val="Citation"/>
        <w:rPr>
          <w:iCs/>
        </w:rPr>
      </w:pPr>
      <w:proofErr w:type="spellStart"/>
      <w:r w:rsidRPr="0052135A">
        <w:rPr>
          <w:iCs/>
        </w:rPr>
        <w:t>Milkis</w:t>
      </w:r>
      <w:proofErr w:type="spellEnd"/>
      <w:r w:rsidRPr="0052135A">
        <w:rPr>
          <w:iCs/>
        </w:rPr>
        <w:t>, S. (n.d.). Theodore Roosevelt: Foreign affairs. Miller Center. Retrieved August 17, 2022, from https://millercenter.org/president/roosevelt/foreign-affairs</w:t>
      </w:r>
    </w:p>
    <w:p w14:paraId="60F2E9B6" w14:textId="43B012DC" w:rsidR="00D91554" w:rsidRPr="00D91554" w:rsidRDefault="009849F8" w:rsidP="0052135A">
      <w:pPr>
        <w:pStyle w:val="Citation"/>
      </w:pPr>
      <w:r>
        <w:rPr>
          <w:iCs/>
        </w:rPr>
        <w:t>Theodore Roosevelt's corollary to the Monroe Doctrine</w:t>
      </w:r>
      <w:r w:rsidR="00F80775">
        <w:rPr>
          <w:iCs/>
        </w:rPr>
        <w:t>.</w:t>
      </w:r>
      <w:r>
        <w:rPr>
          <w:iCs/>
        </w:rPr>
        <w:t xml:space="preserve"> (1905)</w:t>
      </w:r>
      <w:r>
        <w:t xml:space="preserve">. National Archives and Records Administration. Retrieved August 17, 2022, from </w:t>
      </w:r>
      <w:r w:rsidRPr="009849F8">
        <w:t>https://www.archives.gov/milestone-documents/roosevelt-corollary</w:t>
      </w:r>
      <w:r>
        <w:t xml:space="preserve"> </w:t>
      </w:r>
      <w:r w:rsidR="00D91554">
        <w:rPr>
          <w:i w:val="0"/>
        </w:rPr>
        <w:br w:type="page"/>
      </w:r>
    </w:p>
    <w:p w14:paraId="7F38B336" w14:textId="4AED3C37" w:rsidR="00AB3263" w:rsidRPr="00E971DC" w:rsidRDefault="00AB3263" w:rsidP="009849F8">
      <w:pPr>
        <w:pStyle w:val="Title"/>
        <w:rPr>
          <w:sz w:val="28"/>
          <w:szCs w:val="52"/>
        </w:rPr>
      </w:pPr>
      <w:r w:rsidRPr="00E971DC">
        <w:rPr>
          <w:sz w:val="28"/>
          <w:szCs w:val="52"/>
        </w:rPr>
        <w:lastRenderedPageBreak/>
        <w:t>dollar diplomacy</w:t>
      </w:r>
    </w:p>
    <w:p w14:paraId="40765908" w14:textId="538C6E9F" w:rsidR="00B34D1C" w:rsidRDefault="00974AD7" w:rsidP="00897089">
      <w:pPr>
        <w:ind w:firstLine="720"/>
      </w:pPr>
      <w:r>
        <w:t>William Taft was president from 1909</w:t>
      </w:r>
      <w:r w:rsidR="00985031">
        <w:t xml:space="preserve"> to </w:t>
      </w:r>
      <w:r>
        <w:t xml:space="preserve">1913. </w:t>
      </w:r>
      <w:r w:rsidR="00B34D1C">
        <w:t xml:space="preserve">His diplomatic policy focused on using economic power instead of threats or military force. In a speech to Congress in 1912, he characterized his </w:t>
      </w:r>
      <w:r w:rsidR="00D7448D">
        <w:t xml:space="preserve">foreign </w:t>
      </w:r>
      <w:r w:rsidR="00B34D1C">
        <w:t xml:space="preserve">policy as </w:t>
      </w:r>
      <w:r w:rsidR="0029259B">
        <w:t>“</w:t>
      </w:r>
      <w:r w:rsidR="00B34D1C">
        <w:t>substituting dollars for bullets.</w:t>
      </w:r>
      <w:r w:rsidR="0029259B">
        <w:t>”</w:t>
      </w:r>
      <w:r w:rsidR="00B34D1C">
        <w:t xml:space="preserve"> Taft encouraged </w:t>
      </w:r>
      <w:r w:rsidR="002D42F2">
        <w:t>U.S.</w:t>
      </w:r>
      <w:r w:rsidR="00B34D1C">
        <w:t xml:space="preserve"> businesses to make investments in other countries so that </w:t>
      </w:r>
      <w:r w:rsidR="00DB30D9">
        <w:t xml:space="preserve">they </w:t>
      </w:r>
      <w:r w:rsidR="001D6F6F">
        <w:t xml:space="preserve">too </w:t>
      </w:r>
      <w:r w:rsidR="00DB30D9">
        <w:t>could prosper along</w:t>
      </w:r>
      <w:r w:rsidR="006E4D19">
        <w:t xml:space="preserve"> with</w:t>
      </w:r>
      <w:r w:rsidR="00B34D1C">
        <w:t xml:space="preserve"> </w:t>
      </w:r>
      <w:r w:rsidR="002571CC">
        <w:t>the United States</w:t>
      </w:r>
      <w:r w:rsidR="00B34D1C">
        <w:t xml:space="preserve">. </w:t>
      </w:r>
    </w:p>
    <w:p w14:paraId="3D94AFE0" w14:textId="5BECF32F" w:rsidR="00897089" w:rsidRDefault="00C5280B" w:rsidP="00897089">
      <w:pPr>
        <w:pStyle w:val="BodyText"/>
        <w:ind w:firstLine="720"/>
      </w:pPr>
      <w:r>
        <w:t xml:space="preserve">Taft recognized that </w:t>
      </w:r>
      <w:r w:rsidR="00662BB7">
        <w:t>U.S.</w:t>
      </w:r>
      <w:r>
        <w:t xml:space="preserve"> factories were producing more goods than could be sold, so exports needed to be increased. </w:t>
      </w:r>
      <w:r w:rsidR="00FF13F3">
        <w:t>Taft wanted government officials to encourage the sale of American</w:t>
      </w:r>
      <w:r w:rsidR="006E4D19">
        <w:t>-</w:t>
      </w:r>
      <w:r w:rsidR="00FF13F3">
        <w:t xml:space="preserve">made products to countries overseas, specifically large machinery and military equipment. </w:t>
      </w:r>
      <w:r w:rsidR="00253FEC">
        <w:t>Congress was not always in favor of this idea, so Taft worked directly with business</w:t>
      </w:r>
      <w:r w:rsidR="00730752">
        <w:t>es</w:t>
      </w:r>
      <w:r w:rsidR="00253FEC">
        <w:t xml:space="preserve"> to encourage </w:t>
      </w:r>
      <w:r w:rsidR="00711926">
        <w:t xml:space="preserve">them to </w:t>
      </w:r>
      <w:r w:rsidR="00253FEC">
        <w:t>invest</w:t>
      </w:r>
      <w:r w:rsidR="00711926">
        <w:t xml:space="preserve"> in and loan to </w:t>
      </w:r>
      <w:r w:rsidR="00253FEC">
        <w:t xml:space="preserve">foreign countries. He tried unsuccessfully to convince Japan and Russia to sell the Manchurian </w:t>
      </w:r>
      <w:r w:rsidR="00EE5B95">
        <w:t>r</w:t>
      </w:r>
      <w:r w:rsidR="00253FEC">
        <w:t>ailroads and return them to China’s control</w:t>
      </w:r>
      <w:r w:rsidR="00B7341E">
        <w:t>. T</w:t>
      </w:r>
      <w:r w:rsidR="00253FEC">
        <w:t>his defeat was considered an embarrassment to Taft’s presidency</w:t>
      </w:r>
      <w:r w:rsidR="007E2C16">
        <w:t xml:space="preserve">. </w:t>
      </w:r>
    </w:p>
    <w:p w14:paraId="3C2AE64C" w14:textId="77777777" w:rsidR="00A60461" w:rsidRDefault="00A17995" w:rsidP="00897089">
      <w:pPr>
        <w:pStyle w:val="BodyText"/>
        <w:ind w:firstLine="720"/>
      </w:pPr>
      <w:r>
        <w:t xml:space="preserve">Because the Monroe Doctrine </w:t>
      </w:r>
      <w:r w:rsidR="00A9511F">
        <w:t>discouraged</w:t>
      </w:r>
      <w:r w:rsidR="00A058E3">
        <w:t xml:space="preserve"> </w:t>
      </w:r>
      <w:r w:rsidR="00CD5378">
        <w:t>European</w:t>
      </w:r>
      <w:r w:rsidR="00A058E3">
        <w:t xml:space="preserve"> investments in Latin American countries, </w:t>
      </w:r>
      <w:r w:rsidR="007E2C16">
        <w:t xml:space="preserve">Taft felt an obligation to </w:t>
      </w:r>
      <w:r w:rsidR="001D1C65">
        <w:t>prompt</w:t>
      </w:r>
      <w:r w:rsidR="007E2C16">
        <w:t xml:space="preserve"> </w:t>
      </w:r>
      <w:r w:rsidR="002F68EF">
        <w:t xml:space="preserve">U.S. </w:t>
      </w:r>
      <w:r w:rsidR="007E2C16">
        <w:t>ban</w:t>
      </w:r>
      <w:r w:rsidR="005944E3">
        <w:t>k</w:t>
      </w:r>
      <w:r w:rsidR="007E2C16">
        <w:t>s and business</w:t>
      </w:r>
      <w:r w:rsidR="00424766">
        <w:t>es</w:t>
      </w:r>
      <w:r w:rsidR="007E2C16">
        <w:t xml:space="preserve"> to give loans to newly independent Caribbean countries</w:t>
      </w:r>
      <w:r w:rsidR="005944E3">
        <w:t>,</w:t>
      </w:r>
      <w:r w:rsidR="007E2C16">
        <w:t xml:space="preserve"> such as Cuba, Honduras, and the Dominican Republic. </w:t>
      </w:r>
      <w:r w:rsidR="00D80782">
        <w:t>Often</w:t>
      </w:r>
      <w:r w:rsidR="002F68EF">
        <w:t>,</w:t>
      </w:r>
      <w:r w:rsidR="007E2C16">
        <w:t xml:space="preserve"> Taft</w:t>
      </w:r>
      <w:r w:rsidR="002F68EF">
        <w:t xml:space="preserve"> </w:t>
      </w:r>
      <w:r w:rsidR="007E2C16">
        <w:t xml:space="preserve">sent </w:t>
      </w:r>
      <w:r w:rsidR="007C07E5">
        <w:t>U.S.</w:t>
      </w:r>
      <w:r w:rsidR="007E2C16">
        <w:t xml:space="preserve"> officials to manage these governments</w:t>
      </w:r>
      <w:r w:rsidR="002F68EF">
        <w:t>’</w:t>
      </w:r>
      <w:r w:rsidR="007E2C16">
        <w:t xml:space="preserve"> funds because </w:t>
      </w:r>
      <w:r w:rsidR="00E2388F">
        <w:t xml:space="preserve">he was concerned </w:t>
      </w:r>
      <w:r w:rsidR="007E2C16">
        <w:t xml:space="preserve">the countries had high levels of corruption. </w:t>
      </w:r>
    </w:p>
    <w:p w14:paraId="32E153F8" w14:textId="328890E1" w:rsidR="007E2C16" w:rsidRDefault="00B36F59" w:rsidP="00897089">
      <w:pPr>
        <w:pStyle w:val="BodyText"/>
        <w:ind w:firstLine="720"/>
      </w:pPr>
      <w:r>
        <w:t>When a</w:t>
      </w:r>
      <w:r w:rsidR="0017174B">
        <w:t xml:space="preserve"> rebellion in Nicaragua threatened the large investment of </w:t>
      </w:r>
      <w:r w:rsidR="007C07E5">
        <w:t xml:space="preserve">American </w:t>
      </w:r>
      <w:r w:rsidR="0017174B">
        <w:t>dollars in the country</w:t>
      </w:r>
      <w:r>
        <w:t>,</w:t>
      </w:r>
      <w:r w:rsidR="0017174B">
        <w:t xml:space="preserve"> Taft sent thousands of troops to stop the revolt</w:t>
      </w:r>
      <w:r w:rsidR="000554BF">
        <w:t xml:space="preserve"> in 1912</w:t>
      </w:r>
      <w:r w:rsidR="0017174B">
        <w:t xml:space="preserve">. </w:t>
      </w:r>
      <w:r w:rsidR="006A5D26">
        <w:t>The</w:t>
      </w:r>
      <w:r w:rsidR="00FF0F5E">
        <w:t xml:space="preserve"> </w:t>
      </w:r>
      <w:r w:rsidR="00184DDD">
        <w:t xml:space="preserve">U.S. </w:t>
      </w:r>
      <w:r w:rsidR="00FF0F5E">
        <w:t>military</w:t>
      </w:r>
      <w:r w:rsidR="0017174B">
        <w:t xml:space="preserve"> remained in Nicaragua </w:t>
      </w:r>
      <w:r w:rsidR="000F570D">
        <w:t>for 13 years</w:t>
      </w:r>
      <w:r w:rsidR="006A5D26">
        <w:t xml:space="preserve"> following this event</w:t>
      </w:r>
      <w:r w:rsidR="0017174B">
        <w:t xml:space="preserve">. </w:t>
      </w:r>
      <w:r w:rsidR="007E2C16">
        <w:t>Th</w:t>
      </w:r>
      <w:r w:rsidR="0017174B">
        <w:t>e</w:t>
      </w:r>
      <w:r w:rsidR="007E2C16">
        <w:t>s</w:t>
      </w:r>
      <w:r w:rsidR="0017174B">
        <w:t>e</w:t>
      </w:r>
      <w:r w:rsidR="007E2C16">
        <w:t xml:space="preserve"> </w:t>
      </w:r>
      <w:r w:rsidR="0025197A">
        <w:t xml:space="preserve">decisions </w:t>
      </w:r>
      <w:r w:rsidR="0017174B">
        <w:t>resulted in distrust and anger from Latin America</w:t>
      </w:r>
      <w:r w:rsidR="003105C2">
        <w:t>n</w:t>
      </w:r>
      <w:r w:rsidR="0017174B">
        <w:t xml:space="preserve"> countries. </w:t>
      </w:r>
      <w:r w:rsidR="000A369A">
        <w:t xml:space="preserve">Overall, </w:t>
      </w:r>
      <w:r w:rsidR="00742A0C">
        <w:t xml:space="preserve">Taft’s </w:t>
      </w:r>
      <w:r w:rsidR="000A369A">
        <w:t xml:space="preserve">foreign </w:t>
      </w:r>
      <w:r w:rsidR="00742A0C">
        <w:t>polic</w:t>
      </w:r>
      <w:r w:rsidR="000A369A">
        <w:t>y</w:t>
      </w:r>
      <w:r w:rsidR="00742A0C">
        <w:t xml:space="preserve"> is largely viewed as a failure. </w:t>
      </w:r>
    </w:p>
    <w:p w14:paraId="7B0B49F6" w14:textId="7B216B7C" w:rsidR="000239D0" w:rsidRDefault="000239D0" w:rsidP="000239D0">
      <w:pPr>
        <w:pStyle w:val="BodyText"/>
      </w:pPr>
    </w:p>
    <w:p w14:paraId="4E35343B" w14:textId="6A21AD19" w:rsidR="000239D0" w:rsidRDefault="000239D0" w:rsidP="000239D0">
      <w:pPr>
        <w:pStyle w:val="BodyText"/>
      </w:pPr>
    </w:p>
    <w:p w14:paraId="28FA86FA" w14:textId="3DFDEFC5" w:rsidR="000239D0" w:rsidRDefault="000239D0" w:rsidP="000239D0">
      <w:pPr>
        <w:pStyle w:val="BodyText"/>
      </w:pPr>
    </w:p>
    <w:p w14:paraId="51E42465" w14:textId="77777777" w:rsidR="00D91554" w:rsidRDefault="00D91554" w:rsidP="000239D0">
      <w:pPr>
        <w:pStyle w:val="BodyText"/>
      </w:pPr>
    </w:p>
    <w:p w14:paraId="356BFB9A" w14:textId="34B88361" w:rsidR="00D91554" w:rsidRDefault="00D91554" w:rsidP="00D91554">
      <w:pPr>
        <w:pStyle w:val="Citation"/>
        <w:ind w:left="0" w:firstLine="0"/>
        <w:rPr>
          <w:iCs/>
        </w:rPr>
      </w:pPr>
    </w:p>
    <w:p w14:paraId="259500F9" w14:textId="77777777" w:rsidR="00897089" w:rsidRPr="00897089" w:rsidRDefault="00897089" w:rsidP="00897089">
      <w:pPr>
        <w:pStyle w:val="FootnoteText"/>
      </w:pPr>
    </w:p>
    <w:p w14:paraId="3BF01785" w14:textId="6053170A" w:rsidR="00D91554" w:rsidRDefault="00D91554" w:rsidP="00D91554">
      <w:pPr>
        <w:pStyle w:val="FootnoteText"/>
      </w:pPr>
    </w:p>
    <w:p w14:paraId="6EA7B884" w14:textId="335E90A5" w:rsidR="00897089" w:rsidRDefault="00897089" w:rsidP="00D91554">
      <w:pPr>
        <w:pStyle w:val="FootnoteText"/>
      </w:pPr>
    </w:p>
    <w:p w14:paraId="4DDFEAF9" w14:textId="63E34991" w:rsidR="00897089" w:rsidRDefault="00897089" w:rsidP="00D91554">
      <w:pPr>
        <w:pStyle w:val="FootnoteText"/>
      </w:pPr>
    </w:p>
    <w:p w14:paraId="218A2B33" w14:textId="0FBFEA98" w:rsidR="00897089" w:rsidRDefault="00897089" w:rsidP="00D91554">
      <w:pPr>
        <w:pStyle w:val="FootnoteText"/>
      </w:pPr>
    </w:p>
    <w:p w14:paraId="509776B3" w14:textId="77777777" w:rsidR="00897089" w:rsidRPr="00D91554" w:rsidRDefault="00897089" w:rsidP="00D91554">
      <w:pPr>
        <w:pStyle w:val="FootnoteText"/>
      </w:pPr>
    </w:p>
    <w:p w14:paraId="0879C676" w14:textId="3448C68D" w:rsidR="00FE59E4" w:rsidRDefault="00FE59E4" w:rsidP="00FE59E4">
      <w:pPr>
        <w:pStyle w:val="Citation"/>
      </w:pPr>
      <w:r w:rsidRPr="00FE59E4">
        <w:t>Dollar diplomacy: AP® US history crash course. (2022, March 1). Albert – Learn by Doing. Retrieved August 24, 2022, from https://www.albert.io/blog/dollar-diplomacy-ap-us-history-crash-course/</w:t>
      </w:r>
    </w:p>
    <w:p w14:paraId="58ABC83F" w14:textId="43A41300" w:rsidR="00D91554" w:rsidRPr="00897089" w:rsidRDefault="00DE366F" w:rsidP="00FE59E4">
      <w:pPr>
        <w:pStyle w:val="Citation"/>
      </w:pPr>
      <w:r w:rsidRPr="00D91554">
        <w:t xml:space="preserve">Taft and Wilson </w:t>
      </w:r>
      <w:r w:rsidR="00387007">
        <w:t>–</w:t>
      </w:r>
      <w:r w:rsidRPr="00D91554">
        <w:t xml:space="preserve"> </w:t>
      </w:r>
      <w:r w:rsidR="00387007">
        <w:t>AP</w:t>
      </w:r>
      <w:r w:rsidRPr="00D91554">
        <w:t xml:space="preserve"> U.S. history notes. (n.d.). </w:t>
      </w:r>
      <w:r w:rsidR="00387007">
        <w:t xml:space="preserve">Study Notes. </w:t>
      </w:r>
      <w:r w:rsidRPr="00D91554">
        <w:t xml:space="preserve">Retrieved August 24, 2022, from https://www.apstudynotes.org/us-history/topics/taft-and-wilson/ </w:t>
      </w:r>
      <w:r w:rsidR="00D91554">
        <w:br w:type="page"/>
      </w:r>
    </w:p>
    <w:p w14:paraId="29618F5B" w14:textId="431CBB69" w:rsidR="00AB3263" w:rsidRPr="00E971DC" w:rsidRDefault="00AB3263" w:rsidP="00AB3263">
      <w:pPr>
        <w:pStyle w:val="Title"/>
        <w:rPr>
          <w:sz w:val="28"/>
          <w:szCs w:val="28"/>
        </w:rPr>
      </w:pPr>
      <w:r w:rsidRPr="00E971DC">
        <w:rPr>
          <w:sz w:val="28"/>
          <w:szCs w:val="28"/>
        </w:rPr>
        <w:lastRenderedPageBreak/>
        <w:t>missionary diplomacy</w:t>
      </w:r>
    </w:p>
    <w:p w14:paraId="594BBD58" w14:textId="211C4082" w:rsidR="00453F93" w:rsidRDefault="00163CFE" w:rsidP="00897089">
      <w:pPr>
        <w:pStyle w:val="BodyText"/>
        <w:ind w:firstLine="720"/>
      </w:pPr>
      <w:r>
        <w:t>Woodrow Wilson was president from 1913</w:t>
      </w:r>
      <w:r w:rsidR="00985031">
        <w:t xml:space="preserve"> to </w:t>
      </w:r>
      <w:r>
        <w:t>1921 and i</w:t>
      </w:r>
      <w:r w:rsidR="00985031">
        <w:t>s</w:t>
      </w:r>
      <w:r>
        <w:t xml:space="preserve"> best known as the president during World War I. </w:t>
      </w:r>
      <w:r w:rsidR="00040379">
        <w:t>Wilson viewed dollar diplomacy as a materialistic way to conduct diplomacy</w:t>
      </w:r>
      <w:r w:rsidR="00D07939">
        <w:t>,</w:t>
      </w:r>
      <w:r w:rsidR="00040379">
        <w:t xml:space="preserve"> and </w:t>
      </w:r>
      <w:r w:rsidR="00D07939">
        <w:t xml:space="preserve">he </w:t>
      </w:r>
      <w:r w:rsidR="00040379">
        <w:t xml:space="preserve">instead wanted to use moral principles to guide his foreign policy. </w:t>
      </w:r>
      <w:r w:rsidR="00453F93">
        <w:t xml:space="preserve">Wilson wanted countries around the world to </w:t>
      </w:r>
      <w:r w:rsidR="003751BE">
        <w:t xml:space="preserve">embrace and </w:t>
      </w:r>
      <w:r w:rsidR="000030E6">
        <w:t>implement</w:t>
      </w:r>
      <w:r w:rsidR="00453F93">
        <w:t xml:space="preserve"> democracy and used his diplomacy for that purpose. </w:t>
      </w:r>
    </w:p>
    <w:p w14:paraId="6EA537EC" w14:textId="288B1DC9" w:rsidR="00583C5B" w:rsidRDefault="00FB00A8" w:rsidP="00897089">
      <w:pPr>
        <w:pStyle w:val="BodyText"/>
        <w:ind w:firstLine="720"/>
      </w:pPr>
      <w:r>
        <w:t xml:space="preserve">During his presidency, </w:t>
      </w:r>
      <w:r w:rsidR="00526B12">
        <w:t xml:space="preserve">Wilson worked with Congress to give the Philippines </w:t>
      </w:r>
      <w:r w:rsidR="008A5F75">
        <w:t xml:space="preserve">more </w:t>
      </w:r>
      <w:r w:rsidR="00526B12">
        <w:t>independence from the United States</w:t>
      </w:r>
      <w:r w:rsidR="008A5F75">
        <w:t xml:space="preserve"> by establishing a senate made up of people </w:t>
      </w:r>
      <w:r>
        <w:t>who</w:t>
      </w:r>
      <w:r w:rsidR="008A5F75">
        <w:t xml:space="preserve"> lived in the Philippines</w:t>
      </w:r>
      <w:r w:rsidR="00B52C6C">
        <w:t>.</w:t>
      </w:r>
      <w:r w:rsidR="008A5F75">
        <w:t xml:space="preserve"> </w:t>
      </w:r>
      <w:r w:rsidR="00B52C6C">
        <w:t>T</w:t>
      </w:r>
      <w:r w:rsidR="008A5F75">
        <w:t xml:space="preserve">his paved the way for the Philippines to be a completely independent country by 1946. Wilson also made </w:t>
      </w:r>
      <w:r w:rsidR="00526B12">
        <w:t>Puerto Rico a U.S. territory</w:t>
      </w:r>
      <w:r w:rsidR="00E57039">
        <w:t>, which</w:t>
      </w:r>
      <w:r w:rsidR="00526B12">
        <w:t xml:space="preserve"> </w:t>
      </w:r>
      <w:r w:rsidR="00E57039">
        <w:t>meant</w:t>
      </w:r>
      <w:r w:rsidR="00526B12">
        <w:t xml:space="preserve"> the people in Puerto Rico became U.S. citizens. </w:t>
      </w:r>
      <w:r w:rsidR="00E57039">
        <w:t>However,</w:t>
      </w:r>
      <w:r w:rsidR="00526B12">
        <w:t xml:space="preserve"> this </w:t>
      </w:r>
      <w:r w:rsidR="009C61A3">
        <w:t>contrasts with</w:t>
      </w:r>
      <w:r w:rsidR="00526B12">
        <w:t xml:space="preserve"> </w:t>
      </w:r>
      <w:r w:rsidR="00D24670">
        <w:t>Wilson’s decision</w:t>
      </w:r>
      <w:r w:rsidR="00526B12">
        <w:t xml:space="preserve"> to purchase the </w:t>
      </w:r>
      <w:r w:rsidR="009B1AC5">
        <w:t xml:space="preserve">colony of </w:t>
      </w:r>
      <w:r w:rsidR="00075929">
        <w:t xml:space="preserve">the Danish West Indies </w:t>
      </w:r>
      <w:r w:rsidR="00526B12">
        <w:t>fro</w:t>
      </w:r>
      <w:r w:rsidR="009B1AC5">
        <w:t xml:space="preserve">m </w:t>
      </w:r>
      <w:r w:rsidR="00526B12">
        <w:t>Denmark</w:t>
      </w:r>
      <w:r w:rsidR="009B1AC5">
        <w:t xml:space="preserve">, making it a U.S. </w:t>
      </w:r>
      <w:r w:rsidR="00075929">
        <w:t>territory</w:t>
      </w:r>
      <w:r w:rsidR="000224F7">
        <w:t xml:space="preserve"> </w:t>
      </w:r>
      <w:r w:rsidR="00C03358">
        <w:t>called</w:t>
      </w:r>
      <w:r w:rsidR="00075929">
        <w:t xml:space="preserve"> the Virgin Islands</w:t>
      </w:r>
      <w:r w:rsidR="009B1AC5">
        <w:t xml:space="preserve">. </w:t>
      </w:r>
    </w:p>
    <w:p w14:paraId="3A630632" w14:textId="27E67BEB" w:rsidR="00FF7F73" w:rsidRDefault="00583C5B" w:rsidP="00897089">
      <w:pPr>
        <w:pStyle w:val="BodyText"/>
        <w:ind w:firstLine="720"/>
      </w:pPr>
      <w:r>
        <w:t xml:space="preserve">Wilson </w:t>
      </w:r>
      <w:r w:rsidR="00DE713F">
        <w:t xml:space="preserve">also </w:t>
      </w:r>
      <w:r>
        <w:t>intervened in Latin American countries</w:t>
      </w:r>
      <w:r w:rsidR="00A27297">
        <w:t>’</w:t>
      </w:r>
      <w:r>
        <w:t xml:space="preserve"> governments, sending troops to Haiti and the Dominican Republic to </w:t>
      </w:r>
      <w:r w:rsidR="00B774A1">
        <w:t>suppress</w:t>
      </w:r>
      <w:r>
        <w:t xml:space="preserve"> rebellions. </w:t>
      </w:r>
      <w:r w:rsidR="001F5BB5">
        <w:t>Because h</w:t>
      </w:r>
      <w:r>
        <w:t>e wanted</w:t>
      </w:r>
      <w:r w:rsidR="00C91E14">
        <w:t xml:space="preserve"> all</w:t>
      </w:r>
      <w:r>
        <w:t xml:space="preserve"> </w:t>
      </w:r>
      <w:r w:rsidR="00FF7F73">
        <w:t>countries</w:t>
      </w:r>
      <w:r>
        <w:t xml:space="preserve"> to have democracy as their form of government</w:t>
      </w:r>
      <w:r w:rsidR="001F5BB5">
        <w:t>, he</w:t>
      </w:r>
      <w:r>
        <w:t xml:space="preserve"> left </w:t>
      </w:r>
      <w:r w:rsidR="003A70FC">
        <w:t xml:space="preserve">U.S. </w:t>
      </w:r>
      <w:r>
        <w:t xml:space="preserve">troops in </w:t>
      </w:r>
      <w:r w:rsidR="00FF7F73">
        <w:t xml:space="preserve">both countries </w:t>
      </w:r>
      <w:r w:rsidR="009D04B4">
        <w:t>with the intent to</w:t>
      </w:r>
      <w:r>
        <w:t xml:space="preserve"> establish democracies, but </w:t>
      </w:r>
      <w:r w:rsidR="00062777">
        <w:t>these efforts were</w:t>
      </w:r>
      <w:r>
        <w:t xml:space="preserve"> not successful. Wilson</w:t>
      </w:r>
      <w:r w:rsidR="00FF7F73">
        <w:t xml:space="preserve"> also</w:t>
      </w:r>
      <w:r>
        <w:t xml:space="preserve"> did not support the rule of a dictator in Mexico, General </w:t>
      </w:r>
      <w:r w:rsidR="005F144F">
        <w:t xml:space="preserve">Victoriano </w:t>
      </w:r>
      <w:r>
        <w:t xml:space="preserve">Huerta. He clashed with </w:t>
      </w:r>
      <w:r w:rsidR="00FF7F73">
        <w:t>Huerta on</w:t>
      </w:r>
      <w:r>
        <w:t xml:space="preserve"> </w:t>
      </w:r>
      <w:r w:rsidR="00FA6C81">
        <w:t>multiple</w:t>
      </w:r>
      <w:r>
        <w:t xml:space="preserve"> occasions</w:t>
      </w:r>
      <w:r w:rsidR="003F0843">
        <w:t xml:space="preserve"> and</w:t>
      </w:r>
      <w:r w:rsidR="00055D78">
        <w:t>, at one point,</w:t>
      </w:r>
      <w:r w:rsidR="003F0843">
        <w:t xml:space="preserve"> sent</w:t>
      </w:r>
      <w:r>
        <w:t xml:space="preserve"> </w:t>
      </w:r>
      <w:r w:rsidR="00336404">
        <w:t xml:space="preserve">U.S. </w:t>
      </w:r>
      <w:r>
        <w:t xml:space="preserve">troops to occupy </w:t>
      </w:r>
      <w:r w:rsidR="00201FCC">
        <w:t xml:space="preserve">the city of </w:t>
      </w:r>
      <w:r>
        <w:t>Veracruz</w:t>
      </w:r>
      <w:r w:rsidR="009B1159">
        <w:t xml:space="preserve">. </w:t>
      </w:r>
      <w:r w:rsidR="003F0843">
        <w:t xml:space="preserve">A couple years </w:t>
      </w:r>
      <w:r w:rsidR="00334B31">
        <w:t>later</w:t>
      </w:r>
      <w:r w:rsidR="003F0843">
        <w:t>,</w:t>
      </w:r>
      <w:r w:rsidR="00334B31">
        <w:t xml:space="preserve"> </w:t>
      </w:r>
      <w:r w:rsidR="00C2687C">
        <w:t>Wilson sent</w:t>
      </w:r>
      <w:r w:rsidR="00C764FD">
        <w:t xml:space="preserve"> troops into Mexico to pursue </w:t>
      </w:r>
      <w:proofErr w:type="spellStart"/>
      <w:r w:rsidR="00C764FD">
        <w:t>Pancho</w:t>
      </w:r>
      <w:proofErr w:type="spellEnd"/>
      <w:r w:rsidR="00C764FD">
        <w:t xml:space="preserve"> Villa after Villa killed </w:t>
      </w:r>
      <w:r w:rsidR="00FA6C81">
        <w:t xml:space="preserve">several </w:t>
      </w:r>
      <w:r w:rsidR="00C764FD">
        <w:t xml:space="preserve">Americans in New Mexico. </w:t>
      </w:r>
      <w:r w:rsidR="008259E5">
        <w:t xml:space="preserve">However, </w:t>
      </w:r>
      <w:r w:rsidR="00C2687C">
        <w:t>U.S. t</w:t>
      </w:r>
      <w:r w:rsidR="00FF7F73">
        <w:t xml:space="preserve">roops were </w:t>
      </w:r>
      <w:r w:rsidR="00C2687C">
        <w:t>un</w:t>
      </w:r>
      <w:r w:rsidR="00FF7F73">
        <w:t xml:space="preserve">able to capture Villa. </w:t>
      </w:r>
    </w:p>
    <w:p w14:paraId="07C8A99E" w14:textId="77777777" w:rsidR="00AB363B" w:rsidRDefault="002D17B9" w:rsidP="00897089">
      <w:pPr>
        <w:pStyle w:val="BodyText"/>
        <w:ind w:firstLine="720"/>
      </w:pPr>
      <w:r>
        <w:t>When World War I started</w:t>
      </w:r>
      <w:r w:rsidR="00E44DA3">
        <w:t xml:space="preserve"> in 1914</w:t>
      </w:r>
      <w:r>
        <w:t xml:space="preserve">, </w:t>
      </w:r>
      <w:r w:rsidR="00FF7F73">
        <w:t xml:space="preserve">Wilson </w:t>
      </w:r>
      <w:r w:rsidR="00816F5F">
        <w:t>tried</w:t>
      </w:r>
      <w:r w:rsidR="00500E7E">
        <w:t xml:space="preserve"> </w:t>
      </w:r>
      <w:r w:rsidR="00FF7F73">
        <w:t>to remain neutral</w:t>
      </w:r>
      <w:r w:rsidR="004B2CFE">
        <w:t xml:space="preserve">. </w:t>
      </w:r>
      <w:r w:rsidR="00FF7F73">
        <w:t xml:space="preserve">Although Wilson </w:t>
      </w:r>
      <w:r w:rsidR="00B33651">
        <w:t>did not want to</w:t>
      </w:r>
      <w:r w:rsidR="004B2CFE">
        <w:t xml:space="preserve"> </w:t>
      </w:r>
      <w:r w:rsidR="00FF7F73">
        <w:t>send</w:t>
      </w:r>
      <w:r w:rsidR="004B2CFE">
        <w:t xml:space="preserve"> </w:t>
      </w:r>
      <w:r w:rsidR="0023607E">
        <w:t xml:space="preserve">U.S. </w:t>
      </w:r>
      <w:r w:rsidR="00FF7F73">
        <w:t>troops</w:t>
      </w:r>
      <w:r w:rsidR="0023607E">
        <w:t xml:space="preserve"> to Europe</w:t>
      </w:r>
      <w:r w:rsidR="00FF7F73">
        <w:t>, he support</w:t>
      </w:r>
      <w:r w:rsidR="00500E7E">
        <w:t>ed</w:t>
      </w:r>
      <w:r w:rsidR="00FF7F73">
        <w:t xml:space="preserve"> Britain and France by selling weapons to them. Wilson tried to avoid going to war even after Germany had sunk multiple American ships, </w:t>
      </w:r>
      <w:r w:rsidR="006D690A">
        <w:t>as well as</w:t>
      </w:r>
      <w:r w:rsidR="00FF7F73">
        <w:t xml:space="preserve"> an attack on the British ship the </w:t>
      </w:r>
      <w:r w:rsidR="00FF7F73" w:rsidRPr="0023607E">
        <w:rPr>
          <w:i/>
          <w:iCs/>
        </w:rPr>
        <w:t>Lusitania</w:t>
      </w:r>
      <w:r w:rsidR="00FF7F73">
        <w:t xml:space="preserve"> that killed 128 Americans. </w:t>
      </w:r>
    </w:p>
    <w:p w14:paraId="65160CDF" w14:textId="34E0E752" w:rsidR="00FF7F73" w:rsidRDefault="005C102F" w:rsidP="00897089">
      <w:pPr>
        <w:pStyle w:val="BodyText"/>
        <w:ind w:firstLine="720"/>
      </w:pPr>
      <w:r>
        <w:t xml:space="preserve">In 1917, </w:t>
      </w:r>
      <w:r w:rsidR="00FF7F73">
        <w:t>Wilson ask</w:t>
      </w:r>
      <w:r w:rsidR="00836735">
        <w:t>ed</w:t>
      </w:r>
      <w:r w:rsidR="00FF7F73">
        <w:t xml:space="preserve"> Congress to declare war on Germany after </w:t>
      </w:r>
      <w:r w:rsidR="00A64275">
        <w:t xml:space="preserve">the British intercepted </w:t>
      </w:r>
      <w:r w:rsidR="00FF7F73">
        <w:t xml:space="preserve">a telegram </w:t>
      </w:r>
      <w:r w:rsidR="00C91E14">
        <w:t xml:space="preserve">that was </w:t>
      </w:r>
      <w:r w:rsidR="00412897">
        <w:t xml:space="preserve">meant for </w:t>
      </w:r>
      <w:r w:rsidR="00C91E14">
        <w:t>Mexic</w:t>
      </w:r>
      <w:r w:rsidR="00412897">
        <w:t>an officials</w:t>
      </w:r>
      <w:r w:rsidR="00C91E14">
        <w:t>. Known as the Zimmerma</w:t>
      </w:r>
      <w:r w:rsidR="00C427FE">
        <w:t>n</w:t>
      </w:r>
      <w:r w:rsidR="00C91E14">
        <w:t xml:space="preserve">n </w:t>
      </w:r>
      <w:r w:rsidR="007719F7">
        <w:t>T</w:t>
      </w:r>
      <w:r w:rsidR="00C91E14">
        <w:t>elegram, it was a</w:t>
      </w:r>
      <w:r w:rsidR="0052593C">
        <w:t xml:space="preserve"> proposal </w:t>
      </w:r>
      <w:r w:rsidR="00C91E14">
        <w:t xml:space="preserve">from Germany to let </w:t>
      </w:r>
      <w:r w:rsidR="001366F4">
        <w:t>its</w:t>
      </w:r>
      <w:r w:rsidR="00C91E14">
        <w:t xml:space="preserve"> troops invade the United States from Mexico</w:t>
      </w:r>
      <w:r w:rsidR="00E111F7">
        <w:t xml:space="preserve">. If </w:t>
      </w:r>
      <w:r w:rsidR="00423D3C">
        <w:t>the U</w:t>
      </w:r>
      <w:r w:rsidR="00732982">
        <w:t>nited States</w:t>
      </w:r>
      <w:r w:rsidR="00423D3C">
        <w:t xml:space="preserve"> were</w:t>
      </w:r>
      <w:r w:rsidR="00E111F7">
        <w:t xml:space="preserve"> defeated</w:t>
      </w:r>
      <w:r w:rsidR="003109AC">
        <w:t>, Germany</w:t>
      </w:r>
      <w:r w:rsidR="00CE355E">
        <w:t xml:space="preserve"> would ensure</w:t>
      </w:r>
      <w:r w:rsidR="00C91E14">
        <w:t xml:space="preserve"> Mexico w</w:t>
      </w:r>
      <w:r w:rsidR="00CE355E">
        <w:t>as</w:t>
      </w:r>
      <w:r w:rsidR="00C91E14">
        <w:t xml:space="preserve"> given back </w:t>
      </w:r>
      <w:r w:rsidR="00423D3C">
        <w:t>the</w:t>
      </w:r>
      <w:r w:rsidR="00C00744">
        <w:t xml:space="preserve"> </w:t>
      </w:r>
      <w:r w:rsidR="00A64275">
        <w:t xml:space="preserve">land </w:t>
      </w:r>
      <w:r w:rsidR="00451AAC">
        <w:t xml:space="preserve">it </w:t>
      </w:r>
      <w:r w:rsidR="00C91E14">
        <w:t>lost in the Mexican</w:t>
      </w:r>
      <w:r w:rsidR="00741512">
        <w:t>–</w:t>
      </w:r>
      <w:r w:rsidR="00C91E14">
        <w:t xml:space="preserve">American War. </w:t>
      </w:r>
      <w:r w:rsidR="009E75FF">
        <w:t xml:space="preserve">To explain his motivation for joining the war, </w:t>
      </w:r>
      <w:r w:rsidR="00741512">
        <w:t>Wilson</w:t>
      </w:r>
      <w:r w:rsidR="00C91E14">
        <w:t xml:space="preserve"> told the American people he wanted to make the world safe for democracy</w:t>
      </w:r>
      <w:r w:rsidR="00B71678">
        <w:t xml:space="preserve">. The addition of </w:t>
      </w:r>
      <w:r w:rsidR="00ED17C0">
        <w:t>U.S.</w:t>
      </w:r>
      <w:r w:rsidR="00B71678">
        <w:t xml:space="preserve"> troops </w:t>
      </w:r>
      <w:r w:rsidR="00451AAC">
        <w:t xml:space="preserve">in Europe </w:t>
      </w:r>
      <w:r w:rsidR="00B71678">
        <w:t xml:space="preserve">helped </w:t>
      </w:r>
      <w:r w:rsidR="006A46AB">
        <w:t xml:space="preserve">to </w:t>
      </w:r>
      <w:r w:rsidR="00B71678">
        <w:t>defeat Germany by the end of 191</w:t>
      </w:r>
      <w:r w:rsidR="00BC2040">
        <w:t>8</w:t>
      </w:r>
      <w:r w:rsidR="00B71678">
        <w:t xml:space="preserve">. </w:t>
      </w:r>
    </w:p>
    <w:p w14:paraId="315F8EFA" w14:textId="62138067" w:rsidR="00D91554" w:rsidRDefault="00D91554" w:rsidP="00D91554">
      <w:pPr>
        <w:pStyle w:val="FootnoteText"/>
      </w:pPr>
    </w:p>
    <w:p w14:paraId="66796D6E" w14:textId="5DB194AE" w:rsidR="00897089" w:rsidRDefault="00897089" w:rsidP="00D91554">
      <w:pPr>
        <w:pStyle w:val="FootnoteText"/>
      </w:pPr>
    </w:p>
    <w:p w14:paraId="00A1C762" w14:textId="77777777" w:rsidR="00897089" w:rsidRPr="00D91554" w:rsidRDefault="00897089" w:rsidP="00D91554">
      <w:pPr>
        <w:pStyle w:val="FootnoteText"/>
      </w:pPr>
    </w:p>
    <w:p w14:paraId="4DF2A765" w14:textId="77777777" w:rsidR="00B274F6" w:rsidRDefault="00B274F6" w:rsidP="00FD13A4">
      <w:pPr>
        <w:pStyle w:val="Citation"/>
      </w:pPr>
    </w:p>
    <w:p w14:paraId="2C1D0DAC" w14:textId="4665E443" w:rsidR="00040379" w:rsidRPr="00742A0C" w:rsidRDefault="00B71678" w:rsidP="00FD13A4">
      <w:pPr>
        <w:pStyle w:val="Citation"/>
      </w:pPr>
      <w:r w:rsidRPr="00B71678">
        <w:t>Ambar, S.</w:t>
      </w:r>
      <w:r w:rsidR="000D3275">
        <w:t xml:space="preserve"> </w:t>
      </w:r>
      <w:r w:rsidRPr="00B71678">
        <w:t>(</w:t>
      </w:r>
      <w:r w:rsidR="000D3275">
        <w:t>n.d.</w:t>
      </w:r>
      <w:r w:rsidRPr="00B71678">
        <w:t xml:space="preserve">). </w:t>
      </w:r>
      <w:r w:rsidRPr="00B71678">
        <w:rPr>
          <w:iCs/>
        </w:rPr>
        <w:t>Woodrow Wilson: Foreign affairs</w:t>
      </w:r>
      <w:r w:rsidRPr="00B71678">
        <w:t xml:space="preserve">. Miller Center. Retrieved August 25, 2022, from https://millercenter.org/president/wilson/foreign-affairs </w:t>
      </w:r>
    </w:p>
    <w:sectPr w:rsidR="00040379" w:rsidRPr="00742A0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1F88E" w14:textId="77777777" w:rsidR="00091B94" w:rsidRDefault="00091B94">
      <w:pPr>
        <w:spacing w:after="0" w:line="240" w:lineRule="auto"/>
      </w:pPr>
      <w:r>
        <w:separator/>
      </w:r>
    </w:p>
  </w:endnote>
  <w:endnote w:type="continuationSeparator" w:id="0">
    <w:p w14:paraId="438ED3F0" w14:textId="77777777" w:rsidR="00091B94" w:rsidRDefault="0009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8E6FA" w14:textId="1F482EB0" w:rsidR="00C94171" w:rsidRDefault="00D91554">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30216E0D" wp14:editId="75C2B3F4">
              <wp:simplePos x="0" y="0"/>
              <wp:positionH relativeFrom="column">
                <wp:posOffset>1894840</wp:posOffset>
              </wp:positionH>
              <wp:positionV relativeFrom="paragraph">
                <wp:posOffset>-59055</wp:posOffset>
              </wp:positionV>
              <wp:extent cx="4010025" cy="303530"/>
              <wp:effectExtent l="0" t="0" r="0" b="1270"/>
              <wp:wrapNone/>
              <wp:docPr id="11" name="Rectangle 1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29DE7B67" w14:textId="076B76DE" w:rsidR="00C94171" w:rsidRDefault="00D91554">
                          <w:pPr>
                            <w:spacing w:after="0" w:line="240" w:lineRule="auto"/>
                            <w:jc w:val="right"/>
                            <w:textDirection w:val="btLr"/>
                          </w:pPr>
                          <w:r>
                            <w:rPr>
                              <w:b/>
                              <w:smallCaps/>
                              <w:color w:val="2D2D2D"/>
                              <w:sz w:val="22"/>
                            </w:rPr>
                            <w:t xml:space="preserve">DISSECTING DIPLOMACY </w:t>
                          </w:r>
                        </w:p>
                      </w:txbxContent>
                    </wps:txbx>
                    <wps:bodyPr spcFirstLastPara="1" wrap="square" lIns="91425" tIns="45700" rIns="91425" bIns="45700" anchor="t" anchorCtr="0">
                      <a:noAutofit/>
                    </wps:bodyPr>
                  </wps:wsp>
                </a:graphicData>
              </a:graphic>
            </wp:anchor>
          </w:drawing>
        </mc:Choice>
        <mc:Fallback>
          <w:pict>
            <v:rect w14:anchorId="30216E0D" id="Rectangle 11" o:spid="_x0000_s1026" style="position:absolute;margin-left:149.2pt;margin-top:-4.65pt;width:315.75pt;height:2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" filled="f" stroked="f">
              <v:textbox inset="2.53958mm,1.2694mm,2.53958mm,1.2694mm">
                <w:txbxContent>
                  <w:p w14:paraId="29DE7B67" w14:textId="076B76DE" w:rsidR="00C94171" w:rsidRDefault="00D91554">
                    <w:pPr>
                      <w:spacing w:after="0" w:line="240" w:lineRule="auto"/>
                      <w:jc w:val="right"/>
                      <w:textDirection w:val="btLr"/>
                    </w:pPr>
                    <w:r>
                      <w:rPr>
                        <w:b/>
                        <w:smallCaps/>
                        <w:color w:val="2D2D2D"/>
                        <w:sz w:val="22"/>
                      </w:rPr>
                      <w:t xml:space="preserve">DISSECTING DIPLOMACY </w:t>
                    </w:r>
                  </w:p>
                </w:txbxContent>
              </v:textbox>
            </v:rect>
          </w:pict>
        </mc:Fallback>
      </mc:AlternateContent>
    </w:r>
    <w:r>
      <w:rPr>
        <w:noProof/>
      </w:rPr>
      <w:drawing>
        <wp:anchor distT="0" distB="0" distL="0" distR="0" simplePos="0" relativeHeight="251658240" behindDoc="0" locked="0" layoutInCell="1" hidden="0" allowOverlap="1" wp14:anchorId="67BE7279" wp14:editId="3B84EE9C">
          <wp:simplePos x="0" y="0"/>
          <wp:positionH relativeFrom="column">
            <wp:posOffset>1809750</wp:posOffset>
          </wp:positionH>
          <wp:positionV relativeFrom="paragraph">
            <wp:posOffset>-16206</wp:posOffset>
          </wp:positionV>
          <wp:extent cx="4572000" cy="316865"/>
          <wp:effectExtent l="0" t="0" r="0" b="6985"/>
          <wp:wrapSquare wrapText="bothSides" distT="0" distB="0" distL="0" distR="0"/>
          <wp:docPr id="1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3921" w14:textId="77777777" w:rsidR="00091B94" w:rsidRDefault="00091B94">
      <w:pPr>
        <w:spacing w:after="0" w:line="240" w:lineRule="auto"/>
      </w:pPr>
      <w:r>
        <w:separator/>
      </w:r>
    </w:p>
  </w:footnote>
  <w:footnote w:type="continuationSeparator" w:id="0">
    <w:p w14:paraId="01B22F86" w14:textId="77777777" w:rsidR="00091B94" w:rsidRDefault="0009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02120"/>
    <w:multiLevelType w:val="multilevel"/>
    <w:tmpl w:val="127CA162"/>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210529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171"/>
    <w:rsid w:val="000030E6"/>
    <w:rsid w:val="000038E1"/>
    <w:rsid w:val="00016F67"/>
    <w:rsid w:val="00020985"/>
    <w:rsid w:val="000224F7"/>
    <w:rsid w:val="000239D0"/>
    <w:rsid w:val="00040379"/>
    <w:rsid w:val="000530C5"/>
    <w:rsid w:val="000554BF"/>
    <w:rsid w:val="00055D78"/>
    <w:rsid w:val="00062777"/>
    <w:rsid w:val="00075929"/>
    <w:rsid w:val="00091B94"/>
    <w:rsid w:val="000A369A"/>
    <w:rsid w:val="000D1CB7"/>
    <w:rsid w:val="000D3275"/>
    <w:rsid w:val="000F376E"/>
    <w:rsid w:val="000F3E6C"/>
    <w:rsid w:val="000F570D"/>
    <w:rsid w:val="001366F4"/>
    <w:rsid w:val="00163CFE"/>
    <w:rsid w:val="0017174B"/>
    <w:rsid w:val="00184DDD"/>
    <w:rsid w:val="001B6506"/>
    <w:rsid w:val="001D1C65"/>
    <w:rsid w:val="001D2EF4"/>
    <w:rsid w:val="001D6F6F"/>
    <w:rsid w:val="001F5BB5"/>
    <w:rsid w:val="001F6ACA"/>
    <w:rsid w:val="00201FCC"/>
    <w:rsid w:val="00225925"/>
    <w:rsid w:val="0023607E"/>
    <w:rsid w:val="0025197A"/>
    <w:rsid w:val="00253FEC"/>
    <w:rsid w:val="002571CC"/>
    <w:rsid w:val="00267A60"/>
    <w:rsid w:val="00286906"/>
    <w:rsid w:val="0029259B"/>
    <w:rsid w:val="0029775C"/>
    <w:rsid w:val="002D17B9"/>
    <w:rsid w:val="002D42F2"/>
    <w:rsid w:val="002F68EF"/>
    <w:rsid w:val="0031050F"/>
    <w:rsid w:val="003105C2"/>
    <w:rsid w:val="003109AC"/>
    <w:rsid w:val="00317754"/>
    <w:rsid w:val="003223E2"/>
    <w:rsid w:val="00334B31"/>
    <w:rsid w:val="00336404"/>
    <w:rsid w:val="003751BE"/>
    <w:rsid w:val="00387007"/>
    <w:rsid w:val="003A2BD2"/>
    <w:rsid w:val="003A70FC"/>
    <w:rsid w:val="003C1C39"/>
    <w:rsid w:val="003E21E9"/>
    <w:rsid w:val="003F0843"/>
    <w:rsid w:val="00412897"/>
    <w:rsid w:val="00423D3C"/>
    <w:rsid w:val="00424766"/>
    <w:rsid w:val="00451AAC"/>
    <w:rsid w:val="00453F93"/>
    <w:rsid w:val="004A4E06"/>
    <w:rsid w:val="004B2CFE"/>
    <w:rsid w:val="004E65A1"/>
    <w:rsid w:val="004F7391"/>
    <w:rsid w:val="00500884"/>
    <w:rsid w:val="00500E7E"/>
    <w:rsid w:val="00514BB8"/>
    <w:rsid w:val="0052135A"/>
    <w:rsid w:val="0052593C"/>
    <w:rsid w:val="00526B12"/>
    <w:rsid w:val="00575EA6"/>
    <w:rsid w:val="00583C40"/>
    <w:rsid w:val="00583C5B"/>
    <w:rsid w:val="005944E3"/>
    <w:rsid w:val="005A40A1"/>
    <w:rsid w:val="005A6E55"/>
    <w:rsid w:val="005C102F"/>
    <w:rsid w:val="005F144F"/>
    <w:rsid w:val="005F5C60"/>
    <w:rsid w:val="00616EFC"/>
    <w:rsid w:val="006200C4"/>
    <w:rsid w:val="00662BB7"/>
    <w:rsid w:val="0069230B"/>
    <w:rsid w:val="006A46AB"/>
    <w:rsid w:val="006A5D26"/>
    <w:rsid w:val="006D690A"/>
    <w:rsid w:val="006D72C7"/>
    <w:rsid w:val="006E4D19"/>
    <w:rsid w:val="00711926"/>
    <w:rsid w:val="00730752"/>
    <w:rsid w:val="00732982"/>
    <w:rsid w:val="00741512"/>
    <w:rsid w:val="00742A0C"/>
    <w:rsid w:val="007642D9"/>
    <w:rsid w:val="007719F7"/>
    <w:rsid w:val="007B6153"/>
    <w:rsid w:val="007B6202"/>
    <w:rsid w:val="007C07E5"/>
    <w:rsid w:val="007D7641"/>
    <w:rsid w:val="007E20A8"/>
    <w:rsid w:val="007E2C16"/>
    <w:rsid w:val="008166D7"/>
    <w:rsid w:val="00816F5F"/>
    <w:rsid w:val="008259E5"/>
    <w:rsid w:val="00836735"/>
    <w:rsid w:val="00863D8A"/>
    <w:rsid w:val="00897089"/>
    <w:rsid w:val="008A5F75"/>
    <w:rsid w:val="008E4EA1"/>
    <w:rsid w:val="008F6400"/>
    <w:rsid w:val="0091424B"/>
    <w:rsid w:val="00914D6F"/>
    <w:rsid w:val="00950F3F"/>
    <w:rsid w:val="00953E2D"/>
    <w:rsid w:val="00974AD7"/>
    <w:rsid w:val="009849F8"/>
    <w:rsid w:val="00985031"/>
    <w:rsid w:val="009B1159"/>
    <w:rsid w:val="009B1AC5"/>
    <w:rsid w:val="009C36DC"/>
    <w:rsid w:val="009C61A3"/>
    <w:rsid w:val="009C634D"/>
    <w:rsid w:val="009D04B4"/>
    <w:rsid w:val="009E75FF"/>
    <w:rsid w:val="00A058E3"/>
    <w:rsid w:val="00A17995"/>
    <w:rsid w:val="00A27297"/>
    <w:rsid w:val="00A3348A"/>
    <w:rsid w:val="00A44810"/>
    <w:rsid w:val="00A60461"/>
    <w:rsid w:val="00A64275"/>
    <w:rsid w:val="00A72430"/>
    <w:rsid w:val="00A9511F"/>
    <w:rsid w:val="00AB3263"/>
    <w:rsid w:val="00AB363B"/>
    <w:rsid w:val="00AF4ACF"/>
    <w:rsid w:val="00B274F6"/>
    <w:rsid w:val="00B33651"/>
    <w:rsid w:val="00B34D1C"/>
    <w:rsid w:val="00B36F59"/>
    <w:rsid w:val="00B43819"/>
    <w:rsid w:val="00B52C6C"/>
    <w:rsid w:val="00B71678"/>
    <w:rsid w:val="00B7341E"/>
    <w:rsid w:val="00B73833"/>
    <w:rsid w:val="00B774A1"/>
    <w:rsid w:val="00BB07A6"/>
    <w:rsid w:val="00BC2040"/>
    <w:rsid w:val="00BC43CA"/>
    <w:rsid w:val="00C00744"/>
    <w:rsid w:val="00C03358"/>
    <w:rsid w:val="00C2687C"/>
    <w:rsid w:val="00C36E68"/>
    <w:rsid w:val="00C427FE"/>
    <w:rsid w:val="00C5280B"/>
    <w:rsid w:val="00C73A76"/>
    <w:rsid w:val="00C764FD"/>
    <w:rsid w:val="00C91E14"/>
    <w:rsid w:val="00C94171"/>
    <w:rsid w:val="00CD5378"/>
    <w:rsid w:val="00CE355E"/>
    <w:rsid w:val="00D07939"/>
    <w:rsid w:val="00D1125C"/>
    <w:rsid w:val="00D22D51"/>
    <w:rsid w:val="00D24670"/>
    <w:rsid w:val="00D73CF3"/>
    <w:rsid w:val="00D7448D"/>
    <w:rsid w:val="00D80782"/>
    <w:rsid w:val="00D91554"/>
    <w:rsid w:val="00D942AB"/>
    <w:rsid w:val="00DB30D9"/>
    <w:rsid w:val="00DE366F"/>
    <w:rsid w:val="00DE713F"/>
    <w:rsid w:val="00E0599E"/>
    <w:rsid w:val="00E111F7"/>
    <w:rsid w:val="00E2388F"/>
    <w:rsid w:val="00E44DA3"/>
    <w:rsid w:val="00E57039"/>
    <w:rsid w:val="00E67F88"/>
    <w:rsid w:val="00E7248A"/>
    <w:rsid w:val="00E971DC"/>
    <w:rsid w:val="00ED17C0"/>
    <w:rsid w:val="00ED287E"/>
    <w:rsid w:val="00EE5B95"/>
    <w:rsid w:val="00EF4200"/>
    <w:rsid w:val="00F2208E"/>
    <w:rsid w:val="00F36A0E"/>
    <w:rsid w:val="00F476AB"/>
    <w:rsid w:val="00F672D8"/>
    <w:rsid w:val="00F726FE"/>
    <w:rsid w:val="00F80775"/>
    <w:rsid w:val="00FA2D15"/>
    <w:rsid w:val="00FA6C81"/>
    <w:rsid w:val="00FB00A8"/>
    <w:rsid w:val="00FB4BD8"/>
    <w:rsid w:val="00FD13A4"/>
    <w:rsid w:val="00FE59E4"/>
    <w:rsid w:val="00FF0F5E"/>
    <w:rsid w:val="00FF13F3"/>
    <w:rsid w:val="00F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D6C26"/>
  <w15:docId w15:val="{9AAB29FD-D18C-48E2-BDE8-5E04D6B1F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unhideWhenUsed/>
    <w:rsid w:val="00AC349E"/>
  </w:style>
  <w:style w:type="character" w:customStyle="1" w:styleId="BodyTextChar">
    <w:name w:val="Body Text Char"/>
    <w:basedOn w:val="DefaultParagraphFont"/>
    <w:link w:val="BodyText"/>
    <w:uiPriority w:val="99"/>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1">
    <w:name w:val="1"/>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3414">
      <w:bodyDiv w:val="1"/>
      <w:marLeft w:val="0"/>
      <w:marRight w:val="0"/>
      <w:marTop w:val="0"/>
      <w:marBottom w:val="0"/>
      <w:divBdr>
        <w:top w:val="none" w:sz="0" w:space="0" w:color="auto"/>
        <w:left w:val="none" w:sz="0" w:space="0" w:color="auto"/>
        <w:bottom w:val="none" w:sz="0" w:space="0" w:color="auto"/>
        <w:right w:val="none" w:sz="0" w:space="0" w:color="auto"/>
      </w:divBdr>
    </w:div>
    <w:div w:id="257567630">
      <w:bodyDiv w:val="1"/>
      <w:marLeft w:val="0"/>
      <w:marRight w:val="0"/>
      <w:marTop w:val="0"/>
      <w:marBottom w:val="0"/>
      <w:divBdr>
        <w:top w:val="none" w:sz="0" w:space="0" w:color="auto"/>
        <w:left w:val="none" w:sz="0" w:space="0" w:color="auto"/>
        <w:bottom w:val="none" w:sz="0" w:space="0" w:color="auto"/>
        <w:right w:val="none" w:sz="0" w:space="0" w:color="auto"/>
      </w:divBdr>
    </w:div>
    <w:div w:id="1355690953">
      <w:bodyDiv w:val="1"/>
      <w:marLeft w:val="0"/>
      <w:marRight w:val="0"/>
      <w:marTop w:val="0"/>
      <w:marBottom w:val="0"/>
      <w:divBdr>
        <w:top w:val="none" w:sz="0" w:space="0" w:color="auto"/>
        <w:left w:val="none" w:sz="0" w:space="0" w:color="auto"/>
        <w:bottom w:val="none" w:sz="0" w:space="0" w:color="auto"/>
        <w:right w:val="none" w:sz="0" w:space="0" w:color="auto"/>
      </w:divBdr>
    </w:div>
    <w:div w:id="1621569990">
      <w:bodyDiv w:val="1"/>
      <w:marLeft w:val="0"/>
      <w:marRight w:val="0"/>
      <w:marTop w:val="0"/>
      <w:marBottom w:val="0"/>
      <w:divBdr>
        <w:top w:val="none" w:sz="0" w:space="0" w:color="auto"/>
        <w:left w:val="none" w:sz="0" w:space="0" w:color="auto"/>
        <w:bottom w:val="none" w:sz="0" w:space="0" w:color="auto"/>
        <w:right w:val="none" w:sz="0" w:space="0" w:color="auto"/>
      </w:divBdr>
    </w:div>
    <w:div w:id="1837570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jwicMCovnsAPfTjVyf344K5P0ww==">AMUW2mUMjqTWMDAXpmQ3EzHHjAjDs4/TQFYZISawaSIy2FfmZjM5TflFc1GE8zFFaKRc7gSMw6+5noHMZdaX/eZp6ZUJC0HGYS74JbGfgyDorU1LF9krDOMeg0j7uz5I45QrINZmUrxM</go:docsCustomData>
</go:gDocsCustomXmlDataStorage>
</file>

<file path=customXml/itemProps1.xml><?xml version="1.0" encoding="utf-8"?>
<ds:datastoreItem xmlns:ds="http://schemas.openxmlformats.org/officeDocument/2006/customXml" ds:itemID="{F163D52E-31D3-4C6D-9F95-797EA00A184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1124</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Dissecting Diplomacy</dc:title>
  <dc:subject/>
  <dc:creator>K20 Center</dc:creator>
  <cp:keywords/>
  <dc:description/>
  <cp:lastModifiedBy>Daniella Peters</cp:lastModifiedBy>
  <cp:revision>150</cp:revision>
  <dcterms:created xsi:type="dcterms:W3CDTF">2022-09-29T16:24:00Z</dcterms:created>
  <dcterms:modified xsi:type="dcterms:W3CDTF">2022-09-29T21:31:00Z</dcterms:modified>
</cp:coreProperties>
</file>