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PAINTING WITH WORDS</w:t>
      </w:r>
      <w:r w:rsidDel="00000000" w:rsidR="00000000" w:rsidRPr="00000000">
        <w:rPr>
          <w:rtl w:val="0"/>
        </w:rPr>
      </w:r>
    </w:p>
    <w:p w:rsidR="00000000" w:rsidDel="00000000" w:rsidP="00000000" w:rsidRDefault="00000000" w:rsidRPr="00000000" w14:paraId="00000002">
      <w:pPr>
        <w:pStyle w:val="Heading1"/>
        <w:spacing w:after="0" w:lineRule="auto"/>
        <w:rPr/>
      </w:pPr>
      <w:bookmarkStart w:colFirst="0" w:colLast="0" w:name="_ouuwxacjbpe" w:id="0"/>
      <w:bookmarkEnd w:id="0"/>
      <w:r w:rsidDel="00000000" w:rsidR="00000000" w:rsidRPr="00000000">
        <w:rPr>
          <w:rtl w:val="0"/>
        </w:rPr>
        <w:t xml:space="preserve">Imagery</w:t>
      </w:r>
      <w:r w:rsidDel="00000000" w:rsidR="00000000" w:rsidRPr="00000000">
        <w:rPr>
          <w:rtl w:val="0"/>
        </w:rPr>
      </w:r>
    </w:p>
    <w:p w:rsidR="00000000" w:rsidDel="00000000" w:rsidP="00000000" w:rsidRDefault="00000000" w:rsidRPr="00000000" w14:paraId="00000003">
      <w:pPr>
        <w:spacing w:after="0" w:lineRule="auto"/>
        <w:rPr>
          <w:i w:val="1"/>
          <w:color w:val="980000"/>
        </w:rPr>
      </w:pPr>
      <w:r w:rsidDel="00000000" w:rsidR="00000000" w:rsidRPr="00000000">
        <w:rPr>
          <w:i w:val="1"/>
          <w:color w:val="980000"/>
          <w:rtl w:val="0"/>
        </w:rPr>
        <w:t xml:space="preserve">noun</w:t>
      </w:r>
    </w:p>
    <w:p w:rsidR="00000000" w:rsidDel="00000000" w:rsidP="00000000" w:rsidRDefault="00000000" w:rsidRPr="00000000" w14:paraId="00000004">
      <w:pPr>
        <w:numPr>
          <w:ilvl w:val="0"/>
          <w:numId w:val="1"/>
        </w:numPr>
        <w:spacing w:after="0" w:lineRule="auto"/>
        <w:ind w:left="720" w:hanging="360"/>
        <w:rPr/>
      </w:pPr>
      <w:r w:rsidDel="00000000" w:rsidR="00000000" w:rsidRPr="00000000">
        <w:rPr>
          <w:rtl w:val="0"/>
        </w:rPr>
        <w:t xml:space="preserve">Compilation of sensory details which enables the reader to visualize the event.</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Visually descriptive or figurative language, especially in a literary work.</w:t>
      </w:r>
    </w:p>
    <w:p w:rsidR="00000000" w:rsidDel="00000000" w:rsidP="00000000" w:rsidRDefault="00000000" w:rsidRPr="00000000" w14:paraId="00000006">
      <w:pPr>
        <w:spacing w:after="0" w:lineRule="auto"/>
        <w:rPr/>
      </w:pPr>
      <w:r w:rsidDel="00000000" w:rsidR="00000000" w:rsidRPr="00000000">
        <w:rPr>
          <w:i w:val="1"/>
          <w:color w:val="3e5c61"/>
          <w:rtl w:val="0"/>
        </w:rPr>
        <w:t xml:space="preserve">Example: </w:t>
      </w:r>
      <w:r w:rsidDel="00000000" w:rsidR="00000000" w:rsidRPr="00000000">
        <w:rPr>
          <w:rtl w:val="0"/>
        </w:rPr>
        <w:t xml:space="preserve">The white snow glistened as it began to melt in the warm sunlight.</w:t>
      </w:r>
      <w:r w:rsidDel="00000000" w:rsidR="00000000" w:rsidRPr="00000000">
        <w:rPr>
          <w:rtl w:val="0"/>
        </w:rPr>
      </w:r>
    </w:p>
    <w:p w:rsidR="00000000" w:rsidDel="00000000" w:rsidP="00000000" w:rsidRDefault="00000000" w:rsidRPr="00000000" w14:paraId="00000007">
      <w:pPr>
        <w:pStyle w:val="Heading1"/>
        <w:spacing w:after="0" w:lineRule="auto"/>
        <w:rPr/>
      </w:pPr>
      <w:bookmarkStart w:colFirst="0" w:colLast="0" w:name="_bm4rjaquwlnq" w:id="1"/>
      <w:bookmarkEnd w:id="1"/>
      <w:r w:rsidDel="00000000" w:rsidR="00000000" w:rsidRPr="00000000">
        <w:rPr>
          <w:rtl w:val="0"/>
        </w:rPr>
        <w:t xml:space="preserve">Tone</w:t>
      </w:r>
    </w:p>
    <w:p w:rsidR="00000000" w:rsidDel="00000000" w:rsidP="00000000" w:rsidRDefault="00000000" w:rsidRPr="00000000" w14:paraId="00000008">
      <w:pPr>
        <w:spacing w:after="0" w:lineRule="auto"/>
        <w:rPr/>
      </w:pPr>
      <w:r w:rsidDel="00000000" w:rsidR="00000000" w:rsidRPr="00000000">
        <w:rPr>
          <w:i w:val="1"/>
          <w:color w:val="980000"/>
          <w:rtl w:val="0"/>
        </w:rPr>
        <w:t xml:space="preserve">noun</w:t>
      </w:r>
      <w:r w:rsidDel="00000000" w:rsidR="00000000" w:rsidRPr="00000000">
        <w:rPr>
          <w:rtl w:val="0"/>
        </w:rPr>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Speaker or narrator’s attitude toward the subject of the piece distinct from mood in that it is not used to evoke a particular feeling in the reader</w:t>
      </w:r>
    </w:p>
    <w:p w:rsidR="00000000" w:rsidDel="00000000" w:rsidP="00000000" w:rsidRDefault="00000000" w:rsidRPr="00000000" w14:paraId="0000000A">
      <w:pPr>
        <w:numPr>
          <w:ilvl w:val="0"/>
          <w:numId w:val="4"/>
        </w:numPr>
        <w:spacing w:after="0" w:lineRule="auto"/>
        <w:ind w:left="720" w:hanging="360"/>
        <w:rPr/>
      </w:pPr>
      <w:r w:rsidDel="00000000" w:rsidR="00000000" w:rsidRPr="00000000">
        <w:rPr>
          <w:rtl w:val="0"/>
        </w:rPr>
        <w:t xml:space="preserve">The general character or attitude of a place, piece of writing, situation, etc.</w:t>
      </w:r>
    </w:p>
    <w:p w:rsidR="00000000" w:rsidDel="00000000" w:rsidP="00000000" w:rsidRDefault="00000000" w:rsidRPr="00000000" w14:paraId="0000000B">
      <w:pPr>
        <w:spacing w:after="0" w:lineRule="auto"/>
        <w:rPr>
          <w:sz w:val="52"/>
          <w:szCs w:val="52"/>
        </w:rPr>
      </w:pPr>
      <w:r w:rsidDel="00000000" w:rsidR="00000000" w:rsidRPr="00000000">
        <w:rPr>
          <w:i w:val="1"/>
          <w:color w:val="3e5c61"/>
          <w:rtl w:val="0"/>
        </w:rPr>
        <w:t xml:space="preserve">Example: </w:t>
      </w:r>
      <w:r w:rsidDel="00000000" w:rsidR="00000000" w:rsidRPr="00000000">
        <w:rPr>
          <w:rtl w:val="0"/>
        </w:rPr>
        <w:t xml:space="preserve">“Winter will pass, the days will lengthen, the ice will melt in the pasture pond. The song sparrow will return and sing, the frogs will awake, the warm wind will blow again.” - Charlotte’s Web </w:t>
      </w:r>
      <w:r w:rsidDel="00000000" w:rsidR="00000000" w:rsidRPr="00000000">
        <w:rPr>
          <w:rtl w:val="0"/>
        </w:rPr>
      </w:r>
    </w:p>
    <w:p w:rsidR="00000000" w:rsidDel="00000000" w:rsidP="00000000" w:rsidRDefault="00000000" w:rsidRPr="00000000" w14:paraId="0000000C">
      <w:pPr>
        <w:pStyle w:val="Heading1"/>
        <w:spacing w:after="0" w:lineRule="auto"/>
        <w:rPr/>
      </w:pPr>
      <w:bookmarkStart w:colFirst="0" w:colLast="0" w:name="_84shoqj0apjt" w:id="2"/>
      <w:bookmarkEnd w:id="2"/>
      <w:r w:rsidDel="00000000" w:rsidR="00000000" w:rsidRPr="00000000">
        <w:rPr>
          <w:rtl w:val="0"/>
        </w:rPr>
        <w:t xml:space="preserve">Symbolism</w:t>
      </w:r>
    </w:p>
    <w:p w:rsidR="00000000" w:rsidDel="00000000" w:rsidP="00000000" w:rsidRDefault="00000000" w:rsidRPr="00000000" w14:paraId="0000000D">
      <w:pPr>
        <w:spacing w:after="0" w:lineRule="auto"/>
        <w:rPr>
          <w:i w:val="1"/>
          <w:color w:val="980000"/>
        </w:rPr>
      </w:pPr>
      <w:r w:rsidDel="00000000" w:rsidR="00000000" w:rsidRPr="00000000">
        <w:rPr>
          <w:i w:val="1"/>
          <w:color w:val="980000"/>
          <w:rtl w:val="0"/>
        </w:rPr>
        <w:t xml:space="preserve">noun</w:t>
      </w:r>
    </w:p>
    <w:p w:rsidR="00000000" w:rsidDel="00000000" w:rsidP="00000000" w:rsidRDefault="00000000" w:rsidRPr="00000000" w14:paraId="0000000E">
      <w:pPr>
        <w:numPr>
          <w:ilvl w:val="0"/>
          <w:numId w:val="2"/>
        </w:numPr>
        <w:spacing w:after="0" w:before="0" w:lineRule="auto"/>
        <w:ind w:left="720" w:hanging="360"/>
        <w:rPr/>
      </w:pPr>
      <w:r w:rsidDel="00000000" w:rsidR="00000000" w:rsidRPr="00000000">
        <w:rPr>
          <w:rtl w:val="0"/>
        </w:rPr>
        <w:t xml:space="preserve">Something used to represent a larger concept or idea</w:t>
      </w:r>
    </w:p>
    <w:p w:rsidR="00000000" w:rsidDel="00000000" w:rsidP="00000000" w:rsidRDefault="00000000" w:rsidRPr="00000000" w14:paraId="0000000F">
      <w:pPr>
        <w:numPr>
          <w:ilvl w:val="0"/>
          <w:numId w:val="2"/>
        </w:numPr>
        <w:spacing w:after="0" w:before="0" w:lineRule="auto"/>
        <w:ind w:left="720" w:hanging="360"/>
        <w:rPr/>
      </w:pPr>
      <w:r w:rsidDel="00000000" w:rsidR="00000000" w:rsidRPr="00000000">
        <w:rPr>
          <w:rtl w:val="0"/>
        </w:rPr>
        <w:t xml:space="preserve">The use of symbols to represent ideas or qualities.</w:t>
      </w:r>
    </w:p>
    <w:p w:rsidR="00000000" w:rsidDel="00000000" w:rsidP="00000000" w:rsidRDefault="00000000" w:rsidRPr="00000000" w14:paraId="00000010">
      <w:pPr>
        <w:rPr/>
      </w:pPr>
      <w:r w:rsidDel="00000000" w:rsidR="00000000" w:rsidRPr="00000000">
        <w:rPr>
          <w:i w:val="1"/>
          <w:color w:val="3e5c61"/>
          <w:rtl w:val="0"/>
        </w:rPr>
        <w:t xml:space="preserve">Example:</w:t>
      </w:r>
      <w:r w:rsidDel="00000000" w:rsidR="00000000" w:rsidRPr="00000000">
        <w:rPr>
          <w:rtl w:val="0"/>
        </w:rPr>
        <w:t xml:space="preserve"> A ring represents marriage and commitment.</w:t>
      </w:r>
    </w:p>
    <w:p w:rsidR="00000000" w:rsidDel="00000000" w:rsidP="00000000" w:rsidRDefault="00000000" w:rsidRPr="00000000" w14:paraId="00000011">
      <w:pPr>
        <w:pStyle w:val="Heading1"/>
        <w:spacing w:after="0" w:lineRule="auto"/>
        <w:rPr/>
      </w:pPr>
      <w:bookmarkStart w:colFirst="0" w:colLast="0" w:name="_jcgfli9peoxe" w:id="3"/>
      <w:bookmarkEnd w:id="3"/>
      <w:r w:rsidDel="00000000" w:rsidR="00000000" w:rsidRPr="00000000">
        <w:rPr>
          <w:rtl w:val="0"/>
        </w:rPr>
        <w:t xml:space="preserve">Irony</w:t>
      </w:r>
    </w:p>
    <w:p w:rsidR="00000000" w:rsidDel="00000000" w:rsidP="00000000" w:rsidRDefault="00000000" w:rsidRPr="00000000" w14:paraId="00000012">
      <w:pPr>
        <w:spacing w:after="0" w:lineRule="auto"/>
        <w:rPr>
          <w:i w:val="1"/>
          <w:color w:val="980000"/>
        </w:rPr>
      </w:pPr>
      <w:r w:rsidDel="00000000" w:rsidR="00000000" w:rsidRPr="00000000">
        <w:rPr>
          <w:i w:val="1"/>
          <w:color w:val="980000"/>
          <w:rtl w:val="0"/>
        </w:rPr>
        <w:t xml:space="preserve">noun</w:t>
      </w:r>
    </w:p>
    <w:p w:rsidR="00000000" w:rsidDel="00000000" w:rsidP="00000000" w:rsidRDefault="00000000" w:rsidRPr="00000000" w14:paraId="00000013">
      <w:pPr>
        <w:numPr>
          <w:ilvl w:val="0"/>
          <w:numId w:val="3"/>
        </w:numPr>
        <w:spacing w:after="0" w:lineRule="auto"/>
        <w:ind w:left="720" w:hanging="360"/>
        <w:rPr/>
      </w:pPr>
      <w:r w:rsidDel="00000000" w:rsidR="00000000" w:rsidRPr="00000000">
        <w:rPr>
          <w:rtl w:val="0"/>
        </w:rPr>
        <w:t xml:space="preserve">The opposite of what is expected to happen. This can occur in language, in situations, or in the behavior of characters.</w:t>
      </w:r>
    </w:p>
    <w:p w:rsidR="00000000" w:rsidDel="00000000" w:rsidP="00000000" w:rsidRDefault="00000000" w:rsidRPr="00000000" w14:paraId="00000014">
      <w:pPr>
        <w:numPr>
          <w:ilvl w:val="0"/>
          <w:numId w:val="3"/>
        </w:numPr>
        <w:spacing w:after="0" w:lineRule="auto"/>
        <w:ind w:left="720" w:hanging="360"/>
        <w:rPr/>
      </w:pPr>
      <w:r w:rsidDel="00000000" w:rsidR="00000000" w:rsidRPr="00000000">
        <w:rPr>
          <w:rtl w:val="0"/>
        </w:rPr>
        <w:t xml:space="preserve">The expression of one's meaning by using language that normally signifies the opposite, typically for humorous or emphatic effect.</w:t>
      </w:r>
    </w:p>
    <w:p w:rsidR="00000000" w:rsidDel="00000000" w:rsidP="00000000" w:rsidRDefault="00000000" w:rsidRPr="00000000" w14:paraId="00000015">
      <w:pPr>
        <w:spacing w:after="0" w:lineRule="auto"/>
        <w:rPr/>
      </w:pPr>
      <w:r w:rsidDel="00000000" w:rsidR="00000000" w:rsidRPr="00000000">
        <w:rPr>
          <w:i w:val="1"/>
          <w:color w:val="3e5c61"/>
          <w:rtl w:val="0"/>
        </w:rPr>
        <w:t xml:space="preserve">Example: </w:t>
      </w:r>
      <w:r w:rsidDel="00000000" w:rsidR="00000000" w:rsidRPr="00000000">
        <w:rPr>
          <w:rtl w:val="0"/>
        </w:rPr>
        <w:t xml:space="preserve">The teacher failed the test.</w:t>
      </w: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Rule="auto"/>
        <w:rPr>
          <w:i w:val="1"/>
        </w:rPr>
      </w:pPr>
      <w:r w:rsidDel="00000000" w:rsidR="00000000" w:rsidRPr="00000000">
        <w:rPr>
          <w:rtl w:val="0"/>
        </w:rPr>
        <w:t xml:space="preserve">Assigned Section of </w:t>
      </w:r>
      <w:r w:rsidDel="00000000" w:rsidR="00000000" w:rsidRPr="00000000">
        <w:rPr>
          <w:i w:val="1"/>
          <w:rtl w:val="0"/>
        </w:rPr>
        <w:t xml:space="preserve">The Crucible ________________________________________________</w:t>
      </w:r>
      <w:r w:rsidDel="00000000" w:rsidR="00000000" w:rsidRPr="00000000">
        <w:rPr>
          <w:rtl w:val="0"/>
        </w:rPr>
      </w:r>
    </w:p>
    <w:tbl>
      <w:tblPr>
        <w:tblStyle w:val="Table1"/>
        <w:tblW w:w="9360.0" w:type="dxa"/>
        <w:jc w:val="left"/>
        <w:tblInd w:w="0.0" w:type="dxa"/>
        <w:tblBorders>
          <w:top w:color="bed7d3" w:space="0" w:sz="8" w:val="single"/>
          <w:left w:color="bed7d3" w:space="0" w:sz="8" w:val="single"/>
          <w:bottom w:color="bed7d3" w:space="0" w:sz="8" w:val="single"/>
          <w:right w:color="bed7d3" w:space="0" w:sz="8" w:val="single"/>
          <w:insideH w:color="bed7d3" w:space="0" w:sz="8" w:val="single"/>
          <w:insideV w:color="bed7d3" w:space="0" w:sz="8" w:val="single"/>
        </w:tblBorders>
        <w:tblLayout w:type="fixed"/>
        <w:tblLook w:val="0400"/>
      </w:tblPr>
      <w:tblGrid>
        <w:gridCol w:w="1395"/>
        <w:gridCol w:w="6765"/>
        <w:gridCol w:w="1200"/>
        <w:tblGridChange w:id="0">
          <w:tblGrid>
            <w:gridCol w:w="1395"/>
            <w:gridCol w:w="6765"/>
            <w:gridCol w:w="1200"/>
          </w:tblGrid>
        </w:tblGridChange>
      </w:tblGrid>
      <w:tr>
        <w:trPr>
          <w:cantSplit w:val="0"/>
          <w:tblHeader w:val="0"/>
        </w:trPr>
        <w:tc>
          <w:tcPr>
            <w:shd w:fill="3e5c61"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bookmarkStart w:colFirst="0" w:colLast="0" w:name="_gjdgxs" w:id="4"/>
            <w:bookmarkEnd w:id="4"/>
            <w:r w:rsidDel="00000000" w:rsidR="00000000" w:rsidRPr="00000000">
              <w:rPr>
                <w:b w:val="1"/>
                <w:color w:val="ffffff"/>
                <w:rtl w:val="0"/>
              </w:rPr>
              <w:t xml:space="preserve">Literary Device</w:t>
            </w:r>
            <w:r w:rsidDel="00000000" w:rsidR="00000000" w:rsidRPr="00000000">
              <w:rPr>
                <w:rtl w:val="0"/>
              </w:rPr>
            </w:r>
          </w:p>
        </w:tc>
        <w:tc>
          <w:tcPr>
            <w:shd w:fill="3e5c61"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b w:val="1"/>
                <w:color w:val="ffffff"/>
                <w:rtl w:val="0"/>
              </w:rPr>
              <w:t xml:space="preserve">Example</w:t>
            </w:r>
            <w:r w:rsidDel="00000000" w:rsidR="00000000" w:rsidRPr="00000000">
              <w:rPr>
                <w:rtl w:val="0"/>
              </w:rPr>
            </w:r>
          </w:p>
        </w:tc>
        <w:tc>
          <w:tcPr>
            <w:shd w:fill="3e5c61"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b w:val="1"/>
                <w:color w:val="ffffff"/>
                <w:rtl w:val="0"/>
              </w:rPr>
              <w:t xml:space="preserve">Page Number</w:t>
            </w:r>
            <w:r w:rsidDel="00000000" w:rsidR="00000000" w:rsidRPr="00000000">
              <w:rPr>
                <w:rtl w:val="0"/>
              </w:rPr>
            </w:r>
          </w:p>
        </w:tc>
      </w:tr>
      <w:tr>
        <w:trPr>
          <w:cantSplit w:val="0"/>
          <w:tblHeader w:val="0"/>
        </w:trPr>
        <w:tc>
          <w:tcPr/>
          <w:p w:rsidR="00000000" w:rsidDel="00000000" w:rsidP="00000000" w:rsidRDefault="00000000" w:rsidRPr="00000000" w14:paraId="0000001A">
            <w:pPr>
              <w:pStyle w:val="Heading1"/>
              <w:pageBreakBefore w:val="0"/>
              <w:rPr/>
            </w:pPr>
            <w:r w:rsidDel="00000000" w:rsidR="00000000" w:rsidRPr="00000000">
              <w:rPr>
                <w:rtl w:val="0"/>
              </w:rPr>
              <w:t xml:space="preserve">Imagery</w:t>
            </w:r>
            <w:r w:rsidDel="00000000" w:rsidR="00000000" w:rsidRPr="00000000">
              <w:rPr>
                <w:rtl w:val="0"/>
              </w:rPr>
            </w:r>
          </w:p>
        </w:tc>
        <w:tc>
          <w:tcPr/>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tc>
        <w:tc>
          <w:tcPr/>
          <w:p w:rsidR="00000000" w:rsidDel="00000000" w:rsidP="00000000" w:rsidRDefault="00000000" w:rsidRPr="00000000" w14:paraId="0000002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25">
            <w:pPr>
              <w:pStyle w:val="Heading1"/>
              <w:pageBreakBefore w:val="0"/>
              <w:rPr/>
            </w:pPr>
            <w:r w:rsidDel="00000000" w:rsidR="00000000" w:rsidRPr="00000000">
              <w:rPr>
                <w:rtl w:val="0"/>
              </w:rPr>
              <w:t xml:space="preserve">Tone</w:t>
            </w:r>
          </w:p>
        </w:tc>
        <w:tc>
          <w:tcPr/>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tc>
        <w:tc>
          <w:tcPr/>
          <w:p w:rsidR="00000000" w:rsidDel="00000000" w:rsidP="00000000" w:rsidRDefault="00000000" w:rsidRPr="00000000" w14:paraId="0000002F">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30">
            <w:pPr>
              <w:pStyle w:val="Heading1"/>
              <w:pageBreakBefore w:val="0"/>
              <w:rPr/>
            </w:pPr>
            <w:r w:rsidDel="00000000" w:rsidR="00000000" w:rsidRPr="00000000">
              <w:rPr>
                <w:rtl w:val="0"/>
              </w:rPr>
              <w:t xml:space="preserve">Symbolism</w:t>
            </w:r>
          </w:p>
        </w:tc>
        <w:tc>
          <w:tcPr/>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tc>
        <w:tc>
          <w:tcPr/>
          <w:p w:rsidR="00000000" w:rsidDel="00000000" w:rsidP="00000000" w:rsidRDefault="00000000" w:rsidRPr="00000000" w14:paraId="0000003A">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3B">
            <w:pPr>
              <w:pStyle w:val="Heading1"/>
              <w:pageBreakBefore w:val="0"/>
              <w:rPr/>
            </w:pPr>
            <w:r w:rsidDel="00000000" w:rsidR="00000000" w:rsidRPr="00000000">
              <w:rPr>
                <w:rtl w:val="0"/>
              </w:rPr>
              <w:t xml:space="preserve">Irony</w:t>
            </w:r>
          </w:p>
        </w:tc>
        <w:tc>
          <w:tcPr/>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tc>
        <w:tc>
          <w:tcPr/>
          <w:p w:rsidR="00000000" w:rsidDel="00000000" w:rsidP="00000000" w:rsidRDefault="00000000" w:rsidRPr="00000000" w14:paraId="00000045">
            <w:pPr>
              <w:pageBreakBefore w:val="0"/>
              <w:rPr/>
            </w:pPr>
            <w:r w:rsidDel="00000000" w:rsidR="00000000" w:rsidRPr="00000000">
              <w:rPr>
                <w:rtl w:val="0"/>
              </w:rPr>
            </w:r>
          </w:p>
        </w:tc>
      </w:tr>
    </w:tbl>
    <w:p w:rsidR="00000000" w:rsidDel="00000000" w:rsidP="00000000" w:rsidRDefault="00000000" w:rsidRPr="00000000" w14:paraId="00000046">
      <w:pPr>
        <w:pageBreakBefore w:val="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1028700</wp:posOffset>
          </wp:positionH>
          <wp:positionV relativeFrom="paragraph">
            <wp:posOffset>-212724</wp:posOffset>
          </wp:positionV>
          <wp:extent cx="4572000" cy="316865"/>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572000" cy="3168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Square wrapText="bothSides" distB="0" distT="0" distL="114300" distR="114300"/>
              <wp:docPr id="1" name=""/>
              <a:graphic>
                <a:graphicData uri="http://schemas.microsoft.com/office/word/2010/wordprocessingShape">
                  <wps:wsp>
                    <wps:cNvSpPr/>
                    <wps:cNvPr id="2" name="Shape 2"/>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IT WASN’T 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color w:val="980000"/>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59.99800000000005"/>
      </w:pPr>
      <w:rPr>
        <w:u w:val="none"/>
      </w:rPr>
    </w:lvl>
    <w:lvl w:ilvl="4">
      <w:start w:val="1"/>
      <w:numFmt w:val="decimal"/>
      <w:lvlText w:val="%5."/>
      <w:lvlJc w:val="right"/>
      <w:pPr>
        <w:ind w:left="3600" w:hanging="360"/>
      </w:pPr>
      <w:rPr>
        <w:u w:val="none"/>
      </w:rPr>
    </w:lvl>
    <w:lvl w:ilvl="5">
      <w:start w:val="1"/>
      <w:numFmt w:val="bullet"/>
      <w:lvlText w:val="⚫"/>
      <w:lvlJc w:val="right"/>
      <w:pPr>
        <w:ind w:left="4320" w:hanging="359.99800000000005"/>
      </w:pPr>
      <w:rPr>
        <w:u w:val="none"/>
      </w:rPr>
    </w:lvl>
    <w:lvl w:ilvl="6">
      <w:start w:val="1"/>
      <w:numFmt w:val="bullet"/>
      <w:lvlText w:val="⚫"/>
      <w:lvlJc w:val="right"/>
      <w:pPr>
        <w:ind w:left="5040" w:hanging="359.9979999999996"/>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decimal"/>
      <w:lvlText w:val="%1."/>
      <w:lvlJc w:val="right"/>
      <w:pPr>
        <w:ind w:left="720" w:hanging="360"/>
      </w:pPr>
      <w:rPr>
        <w:rFonts w:ascii="Arial" w:cs="Arial" w:eastAsia="Arial" w:hAnsi="Arial"/>
        <w:b w:val="1"/>
        <w:color w:val="980000"/>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decimal"/>
      <w:lvlText w:val="%5."/>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decimal"/>
      <w:lvlText w:val="%1."/>
      <w:lvlJc w:val="right"/>
      <w:pPr>
        <w:ind w:left="720" w:hanging="360"/>
      </w:pPr>
      <w:rPr>
        <w:rFonts w:ascii="Arial" w:cs="Arial" w:eastAsia="Arial" w:hAnsi="Arial"/>
        <w:b w:val="1"/>
        <w:color w:val="980000"/>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59.99800000000005"/>
      </w:pPr>
      <w:rPr>
        <w:u w:val="none"/>
      </w:rPr>
    </w:lvl>
    <w:lvl w:ilvl="4">
      <w:start w:val="1"/>
      <w:numFmt w:val="decimal"/>
      <w:lvlText w:val="%5."/>
      <w:lvlJc w:val="right"/>
      <w:pPr>
        <w:ind w:left="3600" w:hanging="360"/>
      </w:pPr>
      <w:rPr>
        <w:u w:val="none"/>
      </w:rPr>
    </w:lvl>
    <w:lvl w:ilvl="5">
      <w:start w:val="1"/>
      <w:numFmt w:val="bullet"/>
      <w:lvlText w:val="⚫"/>
      <w:lvlJc w:val="right"/>
      <w:pPr>
        <w:ind w:left="4320" w:hanging="359.99800000000005"/>
      </w:pPr>
      <w:rPr>
        <w:u w:val="none"/>
      </w:rPr>
    </w:lvl>
    <w:lvl w:ilvl="6">
      <w:start w:val="1"/>
      <w:numFmt w:val="bullet"/>
      <w:lvlText w:val="⚫"/>
      <w:lvlJc w:val="right"/>
      <w:pPr>
        <w:ind w:left="5040" w:hanging="359.9979999999996"/>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4">
    <w:lvl w:ilvl="0">
      <w:start w:val="1"/>
      <w:numFmt w:val="decimal"/>
      <w:lvlText w:val="%1."/>
      <w:lvlJc w:val="right"/>
      <w:pPr>
        <w:ind w:left="720" w:hanging="360"/>
      </w:pPr>
      <w:rPr>
        <w:rFonts w:ascii="Arial" w:cs="Arial" w:eastAsia="Arial" w:hAnsi="Arial"/>
        <w:b w:val="1"/>
        <w:color w:val="980000"/>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decimal"/>
      <w:lvlText w:val="%5."/>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rFonts w:ascii="Calibri" w:cs="Calibri" w:eastAsia="Calibri" w:hAnsi="Calibri"/>
      <w:b w:val="1"/>
      <w:color w:val="910d28"/>
      <w:highlight w:val="white"/>
    </w:rPr>
  </w:style>
  <w:style w:type="paragraph" w:styleId="Heading2">
    <w:name w:val="heading 2"/>
    <w:basedOn w:val="Normal"/>
    <w:next w:val="Normal"/>
    <w:pPr>
      <w:keepNext w:val="1"/>
      <w:keepLines w:val="1"/>
      <w:pageBreakBefore w:val="0"/>
      <w:spacing w:after="0" w:before="200" w:lineRule="auto"/>
    </w:pPr>
    <w:rPr>
      <w:rFonts w:ascii="Calibri" w:cs="Calibri" w:eastAsia="Calibri" w:hAnsi="Calibri"/>
      <w:i w:val="1"/>
      <w:color w:val="910d28"/>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i w:val="1"/>
      <w:color w:val="3e5c61"/>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6c091d"/>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6c091d"/>
    </w:rPr>
  </w:style>
  <w:style w:type="paragraph" w:styleId="Heading6">
    <w:name w:val="heading 6"/>
    <w:basedOn w:val="Normal"/>
    <w:next w:val="Normal"/>
    <w:pPr>
      <w:keepNext w:val="1"/>
      <w:keepLines w:val="1"/>
      <w:pageBreakBefore w:val="0"/>
      <w:spacing w:after="0" w:before="40" w:lineRule="auto"/>
    </w:pPr>
    <w:rPr>
      <w:rFonts w:ascii="Calibri" w:cs="Calibri" w:eastAsia="Calibri" w:hAnsi="Calibri"/>
      <w:color w:val="480613"/>
    </w:rPr>
  </w:style>
  <w:style w:type="paragraph" w:styleId="Title">
    <w:name w:val="Title"/>
    <w:basedOn w:val="Normal"/>
    <w:next w:val="Normal"/>
    <w:pPr>
      <w:pageBreakBefore w:val="0"/>
      <w:spacing w:after="240" w:line="240" w:lineRule="auto"/>
    </w:pPr>
    <w:rPr>
      <w:rFonts w:ascii="Calibri" w:cs="Calibri" w:eastAsia="Calibri" w:hAnsi="Calibri"/>
      <w:b w:val="1"/>
      <w:smallCap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