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3843BE19" w:rsidR="00687ADE" w:rsidRPr="00042987" w:rsidRDefault="00042987">
      <w:pPr>
        <w:pStyle w:val="Title"/>
        <w:rPr>
          <w:lang w:val="es-ES_tradnl"/>
        </w:rPr>
      </w:pPr>
      <w:r>
        <w:rPr>
          <w:lang w:val="es-ES_tradnl"/>
        </w:rPr>
        <w:t>ACTOS LEGISLATIVOS</w:t>
      </w:r>
    </w:p>
    <w:p w14:paraId="00000002" w14:textId="407EA1C4" w:rsidR="00687ADE" w:rsidRPr="00042987" w:rsidRDefault="002D29F4">
      <w:pPr>
        <w:pStyle w:val="Heading1"/>
        <w:rPr>
          <w:b w:val="0"/>
          <w:i/>
          <w:color w:val="626262"/>
          <w:sz w:val="18"/>
          <w:szCs w:val="18"/>
          <w:lang w:val="es-ES_tradnl"/>
        </w:rPr>
      </w:pPr>
      <w:r>
        <w:rPr>
          <w:lang w:val="es-ES_tradnl"/>
        </w:rPr>
        <w:t>Ley General de Distribución de Tierras</w:t>
      </w:r>
      <w:r w:rsidR="007032B9" w:rsidRPr="00042987">
        <w:rPr>
          <w:lang w:val="es-ES_tradnl"/>
        </w:rPr>
        <w:t xml:space="preserve"> </w:t>
      </w:r>
    </w:p>
    <w:p w14:paraId="00000003" w14:textId="22E14159" w:rsidR="00687ADE" w:rsidRPr="00042987" w:rsidRDefault="00852924">
      <w:pPr>
        <w:rPr>
          <w:lang w:val="es-ES_tradnl"/>
        </w:rPr>
      </w:pPr>
      <w:r w:rsidRPr="00852924">
        <w:rPr>
          <w:lang w:val="es-ES_tradnl"/>
        </w:rPr>
        <w:t xml:space="preserve">En 1887, el Congreso aprobó la Ley General de </w:t>
      </w:r>
      <w:r>
        <w:rPr>
          <w:lang w:val="es-ES_tradnl"/>
        </w:rPr>
        <w:t>Distribución de Tierras</w:t>
      </w:r>
      <w:r w:rsidRPr="00852924">
        <w:rPr>
          <w:lang w:val="es-ES_tradnl"/>
        </w:rPr>
        <w:t>, también conocida como Ley Dawes. La Ley Dawes divid</w:t>
      </w:r>
      <w:r>
        <w:rPr>
          <w:lang w:val="es-ES_tradnl"/>
        </w:rPr>
        <w:t>ió</w:t>
      </w:r>
      <w:r w:rsidRPr="00852924">
        <w:rPr>
          <w:lang w:val="es-ES_tradnl"/>
        </w:rPr>
        <w:t xml:space="preserve"> las tierras comunales de las tribus en parcelas individuales y luego vend</w:t>
      </w:r>
      <w:r>
        <w:rPr>
          <w:lang w:val="es-ES_tradnl"/>
        </w:rPr>
        <w:t>ió</w:t>
      </w:r>
      <w:r w:rsidRPr="00852924">
        <w:rPr>
          <w:lang w:val="es-ES_tradnl"/>
        </w:rPr>
        <w:t xml:space="preserve"> las tierras restantes a los colon</w:t>
      </w:r>
      <w:r w:rsidR="002A3C55">
        <w:rPr>
          <w:lang w:val="es-ES_tradnl"/>
        </w:rPr>
        <w:t>izadores</w:t>
      </w:r>
      <w:r w:rsidRPr="00852924">
        <w:rPr>
          <w:lang w:val="es-ES_tradnl"/>
        </w:rPr>
        <w:t xml:space="preserve">. Esta ley otorgaba la ciudadanía estadounidense a los nativos americanos que aceptaban la </w:t>
      </w:r>
      <w:r w:rsidR="002A3C55">
        <w:rPr>
          <w:lang w:val="es-ES_tradnl"/>
        </w:rPr>
        <w:t>distribución</w:t>
      </w:r>
      <w:r w:rsidRPr="00852924">
        <w:rPr>
          <w:lang w:val="es-ES_tradnl"/>
        </w:rPr>
        <w:t>.</w:t>
      </w:r>
    </w:p>
    <w:p w14:paraId="00000004" w14:textId="4BD2D951" w:rsidR="00687ADE" w:rsidRPr="00042987" w:rsidRDefault="002A3C55">
      <w:pPr>
        <w:pStyle w:val="Heading1"/>
        <w:rPr>
          <w:b w:val="0"/>
          <w:i/>
          <w:color w:val="626262"/>
          <w:sz w:val="18"/>
          <w:szCs w:val="18"/>
          <w:lang w:val="es-ES_tradnl"/>
        </w:rPr>
      </w:pPr>
      <w:bookmarkStart w:id="0" w:name="_heading=h.rigmwxul7j1" w:colFirst="0" w:colLast="0"/>
      <w:bookmarkEnd w:id="0"/>
      <w:r>
        <w:rPr>
          <w:lang w:val="es-ES_tradnl"/>
        </w:rPr>
        <w:t xml:space="preserve">Ley </w:t>
      </w:r>
      <w:r w:rsidR="007032B9" w:rsidRPr="00042987">
        <w:rPr>
          <w:lang w:val="es-ES_tradnl"/>
        </w:rPr>
        <w:t xml:space="preserve">Curtis </w:t>
      </w:r>
    </w:p>
    <w:p w14:paraId="00000005" w14:textId="6D89ECDD" w:rsidR="00687ADE" w:rsidRPr="00042987" w:rsidRDefault="002A3C55">
      <w:pPr>
        <w:rPr>
          <w:lang w:val="es-ES_tradnl"/>
        </w:rPr>
      </w:pPr>
      <w:r w:rsidRPr="002A3C55">
        <w:rPr>
          <w:lang w:val="es-ES_tradnl"/>
        </w:rPr>
        <w:t xml:space="preserve">En 1898, el Congreso aprobó la Ley Curtis, llamada así por Charles Curtis, miembro de la tribu </w:t>
      </w:r>
      <w:proofErr w:type="spellStart"/>
      <w:r w:rsidRPr="002A3C55">
        <w:rPr>
          <w:lang w:val="es-ES_tradnl"/>
        </w:rPr>
        <w:t>Kaw</w:t>
      </w:r>
      <w:proofErr w:type="spellEnd"/>
      <w:r w:rsidRPr="002A3C55">
        <w:rPr>
          <w:lang w:val="es-ES_tradnl"/>
        </w:rPr>
        <w:t xml:space="preserve">. La Ley Curtis desmanteló los gobiernos y tribunales tribales, de modo que todas las tribus quedaran bajo la ley federal. Esta ley también exigía una lista de miembros para cada tribu. La Comisión Dawes creó entonces la Lista Dawes para registrar quién era miembro de una tribu. </w:t>
      </w:r>
    </w:p>
    <w:p w14:paraId="00000006" w14:textId="1E8A3F22" w:rsidR="00687ADE" w:rsidRPr="00042987" w:rsidRDefault="002A3C55">
      <w:pPr>
        <w:pStyle w:val="Heading1"/>
        <w:rPr>
          <w:b w:val="0"/>
          <w:i/>
          <w:color w:val="626262"/>
          <w:sz w:val="18"/>
          <w:szCs w:val="18"/>
          <w:lang w:val="es-ES_tradnl"/>
        </w:rPr>
      </w:pPr>
      <w:bookmarkStart w:id="1" w:name="_heading=h.184m57usitu6" w:colFirst="0" w:colLast="0"/>
      <w:bookmarkEnd w:id="1"/>
      <w:r>
        <w:rPr>
          <w:lang w:val="es-ES_tradnl"/>
        </w:rPr>
        <w:t xml:space="preserve">Ley de Distribución de Tierras </w:t>
      </w:r>
      <w:r w:rsidR="007032B9" w:rsidRPr="00042987">
        <w:rPr>
          <w:lang w:val="es-ES_tradnl"/>
        </w:rPr>
        <w:t>Osage</w:t>
      </w:r>
      <w:r>
        <w:rPr>
          <w:lang w:val="es-ES_tradnl"/>
        </w:rPr>
        <w:t xml:space="preserve"> de</w:t>
      </w:r>
      <w:r w:rsidR="007032B9" w:rsidRPr="00042987">
        <w:rPr>
          <w:lang w:val="es-ES_tradnl"/>
        </w:rPr>
        <w:t xml:space="preserve"> 1906</w:t>
      </w:r>
    </w:p>
    <w:p w14:paraId="00000007" w14:textId="15E003B2" w:rsidR="00687ADE" w:rsidRPr="00042987" w:rsidRDefault="002A3C55">
      <w:pPr>
        <w:rPr>
          <w:lang w:val="es-ES_tradnl"/>
        </w:rPr>
      </w:pPr>
      <w:r w:rsidRPr="002A3C55">
        <w:rPr>
          <w:lang w:val="es-ES_tradnl"/>
        </w:rPr>
        <w:t>Esta ley asignó tierras a los miembros de la tribu Osage y garantizó que los Osage conservaran los derechos sobre los minerales de sus tierras. A diferencia de otras tribus, los Osage pudieron conservar la totalidad de sus tierras, pero éstas seguían divididas en parcelas individuales</w:t>
      </w:r>
      <w:r>
        <w:rPr>
          <w:lang w:val="es-ES_tradnl"/>
        </w:rPr>
        <w:t>.</w:t>
      </w:r>
    </w:p>
    <w:p w14:paraId="00000008" w14:textId="64914BF6" w:rsidR="00687ADE" w:rsidRPr="00042987" w:rsidRDefault="00365BF6">
      <w:pPr>
        <w:pStyle w:val="Heading1"/>
        <w:rPr>
          <w:b w:val="0"/>
          <w:i/>
          <w:color w:val="626262"/>
          <w:sz w:val="18"/>
          <w:szCs w:val="18"/>
          <w:lang w:val="es-ES_tradnl"/>
        </w:rPr>
      </w:pPr>
      <w:bookmarkStart w:id="2" w:name="_heading=h.ni09rew4kaqi" w:colFirst="0" w:colLast="0"/>
      <w:bookmarkEnd w:id="2"/>
      <w:r>
        <w:rPr>
          <w:lang w:val="es-ES_tradnl"/>
        </w:rPr>
        <w:t xml:space="preserve">Ley </w:t>
      </w:r>
      <w:proofErr w:type="spellStart"/>
      <w:r w:rsidR="007032B9" w:rsidRPr="00042987">
        <w:rPr>
          <w:lang w:val="es-ES_tradnl"/>
        </w:rPr>
        <w:t>Burke</w:t>
      </w:r>
      <w:proofErr w:type="spellEnd"/>
      <w:r>
        <w:rPr>
          <w:lang w:val="es-ES_tradnl"/>
        </w:rPr>
        <w:t xml:space="preserve"> de</w:t>
      </w:r>
      <w:r w:rsidR="007032B9" w:rsidRPr="00042987">
        <w:rPr>
          <w:lang w:val="es-ES_tradnl"/>
        </w:rPr>
        <w:t xml:space="preserve"> 1906</w:t>
      </w:r>
    </w:p>
    <w:p w14:paraId="00000009" w14:textId="22A256B2" w:rsidR="00687ADE" w:rsidRPr="00042987" w:rsidRDefault="00365BF6">
      <w:pPr>
        <w:rPr>
          <w:lang w:val="es-ES_tradnl"/>
        </w:rPr>
      </w:pPr>
      <w:r w:rsidRPr="00365BF6">
        <w:rPr>
          <w:lang w:val="es-ES_tradnl"/>
        </w:rPr>
        <w:t xml:space="preserve">Esta ley se aplicaba a los nativos americanos que recibían </w:t>
      </w:r>
      <w:r>
        <w:rPr>
          <w:lang w:val="es-ES_tradnl"/>
        </w:rPr>
        <w:t>parcelas</w:t>
      </w:r>
      <w:r w:rsidRPr="00365BF6">
        <w:rPr>
          <w:lang w:val="es-ES_tradnl"/>
        </w:rPr>
        <w:t xml:space="preserve">. La ley impedía que los que aceptaban las </w:t>
      </w:r>
      <w:r>
        <w:rPr>
          <w:lang w:val="es-ES_tradnl"/>
        </w:rPr>
        <w:t>parcelas</w:t>
      </w:r>
      <w:r w:rsidRPr="00365BF6">
        <w:rPr>
          <w:lang w:val="es-ES_tradnl"/>
        </w:rPr>
        <w:t xml:space="preserve"> se convirtieran en ciudadanos estadounidenses hasta el final de un periodo de fideicomiso de 25 años. Esta ley también otorgaba al </w:t>
      </w:r>
      <w:proofErr w:type="gramStart"/>
      <w:r w:rsidRPr="00365BF6">
        <w:rPr>
          <w:lang w:val="es-ES_tradnl"/>
        </w:rPr>
        <w:t>Secretario</w:t>
      </w:r>
      <w:proofErr w:type="gramEnd"/>
      <w:r w:rsidRPr="00365BF6">
        <w:rPr>
          <w:lang w:val="es-ES_tradnl"/>
        </w:rPr>
        <w:t xml:space="preserve"> de Interior la autoridad para determinar si una persona era competente.</w:t>
      </w:r>
    </w:p>
    <w:p w14:paraId="0000000A" w14:textId="7DFE640D" w:rsidR="00687ADE" w:rsidRPr="00042987" w:rsidRDefault="00365BF6">
      <w:pPr>
        <w:pStyle w:val="Heading1"/>
        <w:rPr>
          <w:b w:val="0"/>
          <w:i/>
          <w:color w:val="626262"/>
          <w:sz w:val="18"/>
          <w:szCs w:val="18"/>
          <w:lang w:val="es-ES_tradnl"/>
        </w:rPr>
      </w:pPr>
      <w:bookmarkStart w:id="3" w:name="_heading=h.jantowmjsmb2" w:colFirst="0" w:colLast="0"/>
      <w:bookmarkEnd w:id="3"/>
      <w:r>
        <w:rPr>
          <w:lang w:val="es-ES_tradnl"/>
        </w:rPr>
        <w:t xml:space="preserve">Ley de Ciudadanía </w:t>
      </w:r>
      <w:r w:rsidR="007032B9" w:rsidRPr="00042987">
        <w:rPr>
          <w:lang w:val="es-ES_tradnl"/>
        </w:rPr>
        <w:t>India</w:t>
      </w:r>
      <w:r>
        <w:rPr>
          <w:lang w:val="es-ES_tradnl"/>
        </w:rPr>
        <w:t xml:space="preserve"> de</w:t>
      </w:r>
      <w:r w:rsidR="007032B9" w:rsidRPr="00042987">
        <w:rPr>
          <w:lang w:val="es-ES_tradnl"/>
        </w:rPr>
        <w:t xml:space="preserve"> 1924 </w:t>
      </w:r>
    </w:p>
    <w:p w14:paraId="0000000B" w14:textId="09D9F843" w:rsidR="00687ADE" w:rsidRPr="00042987" w:rsidRDefault="00E0167D">
      <w:pPr>
        <w:rPr>
          <w:lang w:val="es-ES_tradnl"/>
        </w:rPr>
      </w:pPr>
      <w:r w:rsidRPr="00E0167D">
        <w:rPr>
          <w:lang w:val="es-ES_tradnl"/>
        </w:rPr>
        <w:t xml:space="preserve">Esta ley, aprobada por el Congreso y promulgada por el presidente Calvin Coolidge, concedía la ciudadanía a todos los nativos americanos nacidos en Estados Unidos. No tenían que solicitar la ciudadanía ni renunciar a su inscripción tribal. Sin embargo, no todos los estados permitían votar a los nativos americanos a pesar de su nueva ciudadanía. Tuvieron que pasar 37 años desde la aprobación de la Ley General de </w:t>
      </w:r>
      <w:r>
        <w:rPr>
          <w:lang w:val="es-ES_tradnl"/>
        </w:rPr>
        <w:t>Distribución de Tierras</w:t>
      </w:r>
      <w:r w:rsidRPr="00E0167D">
        <w:rPr>
          <w:lang w:val="es-ES_tradnl"/>
        </w:rPr>
        <w:t xml:space="preserve"> para que todos los nativos americanos obtuvieran la ciudadanía estadounidense.</w:t>
      </w:r>
    </w:p>
    <w:p w14:paraId="0000000C" w14:textId="67DEB3FD" w:rsidR="00687ADE" w:rsidRPr="00042987" w:rsidRDefault="00E0167D">
      <w:pPr>
        <w:pStyle w:val="Heading1"/>
        <w:rPr>
          <w:b w:val="0"/>
          <w:i/>
          <w:color w:val="626262"/>
          <w:sz w:val="18"/>
          <w:szCs w:val="18"/>
          <w:lang w:val="es-ES_tradnl"/>
        </w:rPr>
      </w:pPr>
      <w:bookmarkStart w:id="4" w:name="_heading=h.gmifcssg5omq" w:colFirst="0" w:colLast="0"/>
      <w:bookmarkEnd w:id="4"/>
      <w:r>
        <w:rPr>
          <w:lang w:val="es-ES_tradnl"/>
        </w:rPr>
        <w:t>Ley del 27 de febrero de 1925</w:t>
      </w:r>
    </w:p>
    <w:p w14:paraId="0000000F" w14:textId="7F0EAB4D" w:rsidR="00687ADE" w:rsidRPr="003F3146" w:rsidRDefault="00E0167D">
      <w:pPr>
        <w:rPr>
          <w:lang w:val="es-ES_tradnl"/>
        </w:rPr>
      </w:pPr>
      <w:r w:rsidRPr="00E0167D">
        <w:rPr>
          <w:lang w:val="es-ES_tradnl"/>
        </w:rPr>
        <w:t xml:space="preserve">Esta ley otorgaba al </w:t>
      </w:r>
      <w:proofErr w:type="gramStart"/>
      <w:r w:rsidRPr="00E0167D">
        <w:rPr>
          <w:lang w:val="es-ES_tradnl"/>
        </w:rPr>
        <w:t>Secretario</w:t>
      </w:r>
      <w:proofErr w:type="gramEnd"/>
      <w:r w:rsidRPr="00E0167D">
        <w:rPr>
          <w:lang w:val="es-ES_tradnl"/>
        </w:rPr>
        <w:t xml:space="preserve"> del Interior la autoridad para revocar un certificado de competencia si encontraba a un Osage "malgastando o despilfarrando" sus ingresos.</w:t>
      </w:r>
      <w:r w:rsidR="007032B9" w:rsidRPr="00042987">
        <w:rPr>
          <w:lang w:val="es-ES_tradnl"/>
        </w:rPr>
        <w:t xml:space="preserve"> </w:t>
      </w:r>
    </w:p>
    <w:sectPr w:rsidR="00687ADE" w:rsidRPr="003F314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4731" w14:textId="77777777" w:rsidR="006709A2" w:rsidRDefault="006709A2">
      <w:pPr>
        <w:spacing w:after="0" w:line="240" w:lineRule="auto"/>
      </w:pPr>
      <w:r>
        <w:separator/>
      </w:r>
    </w:p>
  </w:endnote>
  <w:endnote w:type="continuationSeparator" w:id="0">
    <w:p w14:paraId="2592497A" w14:textId="77777777" w:rsidR="006709A2" w:rsidRDefault="0067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4299" w14:textId="77777777" w:rsidR="00042987" w:rsidRDefault="00042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0" w14:textId="77777777" w:rsidR="00687ADE" w:rsidRDefault="007032B9">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CD6FFBA" wp14:editId="4F1D4A2A">
              <wp:simplePos x="0" y="0"/>
              <wp:positionH relativeFrom="column">
                <wp:posOffset>1343025</wp:posOffset>
              </wp:positionH>
              <wp:positionV relativeFrom="paragraph">
                <wp:posOffset>-180974</wp:posOffset>
              </wp:positionV>
              <wp:extent cx="4019550" cy="304800"/>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8A3253A" w14:textId="77777777" w:rsidR="00687ADE" w:rsidRDefault="007032B9">
                          <w:pPr>
                            <w:spacing w:after="0" w:line="240" w:lineRule="auto"/>
                            <w:jc w:val="right"/>
                            <w:textDirection w:val="btLr"/>
                          </w:pPr>
                          <w:r>
                            <w:rPr>
                              <w:rFonts w:ascii="Arial" w:eastAsia="Arial" w:hAnsi="Arial" w:cs="Arial"/>
                              <w:b/>
                              <w:smallCaps/>
                              <w:color w:val="2D2D2D"/>
                            </w:rPr>
                            <w:t>REIGN OF TERROR: THE OSAGE MURDERS</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2CD6FFBA" id="_x0000_s1026" style="position:absolute;margin-left:105.75pt;margin-top:-14.25pt;width:316.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" filled="f" stroked="f">
              <v:textbox inset="2.53958mm,1.2694mm,2.53958mm,1.2694mm">
                <w:txbxContent>
                  <w:p w14:paraId="18A3253A" w14:textId="77777777" w:rsidR="00687ADE" w:rsidRDefault="007032B9">
                    <w:pPr>
                      <w:spacing w:after="0" w:line="240" w:lineRule="auto"/>
                      <w:jc w:val="right"/>
                      <w:textDirection w:val="btLr"/>
                    </w:pPr>
                    <w:r>
                      <w:rPr>
                        <w:rFonts w:ascii="Arial" w:eastAsia="Arial" w:hAnsi="Arial" w:cs="Arial"/>
                        <w:b/>
                        <w:smallCaps/>
                        <w:color w:val="2D2D2D"/>
                      </w:rPr>
                      <w:t>REIGN OF TERROR: THE OSAGE MURDERS</w:t>
                    </w:r>
                  </w:p>
                </w:txbxContent>
              </v:textbox>
              <w10:wrap type="square"/>
            </v:rect>
          </w:pict>
        </mc:Fallback>
      </mc:AlternateContent>
    </w:r>
    <w:r>
      <w:rPr>
        <w:noProof/>
      </w:rPr>
      <w:drawing>
        <wp:anchor distT="0" distB="0" distL="0" distR="0" simplePos="0" relativeHeight="251659264" behindDoc="1" locked="0" layoutInCell="1" hidden="0" allowOverlap="1" wp14:anchorId="31B3094F" wp14:editId="3C78E7FA">
          <wp:simplePos x="0" y="0"/>
          <wp:positionH relativeFrom="column">
            <wp:posOffset>1285875</wp:posOffset>
          </wp:positionH>
          <wp:positionV relativeFrom="paragraph">
            <wp:posOffset>-133423</wp:posOffset>
          </wp:positionV>
          <wp:extent cx="4572000" cy="3168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0BDF" w14:textId="77777777" w:rsidR="00042987" w:rsidRDefault="00042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3976" w14:textId="77777777" w:rsidR="006709A2" w:rsidRDefault="006709A2">
      <w:pPr>
        <w:spacing w:after="0" w:line="240" w:lineRule="auto"/>
      </w:pPr>
      <w:r>
        <w:separator/>
      </w:r>
    </w:p>
  </w:footnote>
  <w:footnote w:type="continuationSeparator" w:id="0">
    <w:p w14:paraId="57451234" w14:textId="77777777" w:rsidR="006709A2" w:rsidRDefault="0067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58E8" w14:textId="77777777" w:rsidR="00042987" w:rsidRDefault="00042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9EE5" w14:textId="77777777" w:rsidR="00042987" w:rsidRDefault="00042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93E9" w14:textId="77777777" w:rsidR="00042987" w:rsidRDefault="00042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DE"/>
    <w:rsid w:val="00042987"/>
    <w:rsid w:val="002A3C55"/>
    <w:rsid w:val="002D29F4"/>
    <w:rsid w:val="002D63D5"/>
    <w:rsid w:val="00365BF6"/>
    <w:rsid w:val="003C179F"/>
    <w:rsid w:val="003F3146"/>
    <w:rsid w:val="004D532A"/>
    <w:rsid w:val="006709A2"/>
    <w:rsid w:val="00687ADE"/>
    <w:rsid w:val="007032B9"/>
    <w:rsid w:val="00852924"/>
    <w:rsid w:val="00941AFE"/>
    <w:rsid w:val="00D7070D"/>
    <w:rsid w:val="00DF67DE"/>
    <w:rsid w:val="00E0167D"/>
    <w:rsid w:val="00E5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CA4A4"/>
  <w15:docId w15:val="{26B4C0D7-80A8-4C2E-940B-4B69BE3F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42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987"/>
  </w:style>
  <w:style w:type="paragraph" w:styleId="Footer">
    <w:name w:val="footer"/>
    <w:basedOn w:val="Normal"/>
    <w:link w:val="FooterChar"/>
    <w:uiPriority w:val="99"/>
    <w:unhideWhenUsed/>
    <w:rsid w:val="00042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c18db6-95a6-4e82-a576-181cb2228a09"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yNL8NISzP2I2lL+M71x+V64KQ==">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819BB9F77539F4E80DCB439BDDAEEB1" ma:contentTypeVersion="12" ma:contentTypeDescription="Create a new document." ma:contentTypeScope="" ma:versionID="0e975ed9db09b80d057191aa24a2ba47">
  <xsd:schema xmlns:xsd="http://www.w3.org/2001/XMLSchema" xmlns:xs="http://www.w3.org/2001/XMLSchema" xmlns:p="http://schemas.microsoft.com/office/2006/metadata/properties" xmlns:ns3="b6c18db6-95a6-4e82-a576-181cb2228a09" xmlns:ns4="2c95d73b-190d-41fa-986b-c57e245d4b7b" targetNamespace="http://schemas.microsoft.com/office/2006/metadata/properties" ma:root="true" ma:fieldsID="b452efffa009ea94152ec98bd6e9f69b" ns3:_="" ns4:_="">
    <xsd:import namespace="b6c18db6-95a6-4e82-a576-181cb2228a09"/>
    <xsd:import namespace="2c95d73b-190d-41fa-986b-c57e245d4b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18db6-95a6-4e82-a576-181cb2228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5d73b-190d-41fa-986b-c57e245d4b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FAAE7-0A08-43B3-9EC0-2CDB93A3FE3B}">
  <ds:schemaRefs>
    <ds:schemaRef ds:uri="http://schemas.microsoft.com/office/2006/metadata/properties"/>
    <ds:schemaRef ds:uri="http://schemas.microsoft.com/office/infopath/2007/PartnerControls"/>
    <ds:schemaRef ds:uri="b6c18db6-95a6-4e82-a576-181cb2228a09"/>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C41C74B-E6BD-44E4-895B-6EEBD6B94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18db6-95a6-4e82-a576-181cb2228a09"/>
    <ds:schemaRef ds:uri="2c95d73b-190d-41fa-986b-c57e245d4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6A0F02-3B78-459B-9FAF-934F64912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358</Words>
  <Characters>1870</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Reign of Terror: The Osage Murders</vt:lpstr>
    </vt:vector>
  </TitlesOfParts>
  <Manager/>
  <Company/>
  <LinksUpToDate>false</LinksUpToDate>
  <CharactersWithSpaces>2220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Reign of Terror: The Osage Murders</dc:title>
  <dc:subject/>
  <dc:creator>K20 Center</dc:creator>
  <cp:keywords/>
  <dc:description/>
  <cp:lastModifiedBy>Lopez, Araceli</cp:lastModifiedBy>
  <cp:revision>11</cp:revision>
  <dcterms:created xsi:type="dcterms:W3CDTF">2023-06-12T18:11:00Z</dcterms:created>
  <dcterms:modified xsi:type="dcterms:W3CDTF">2023-08-22T19:17:00Z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0x0101005819BB9F77539F4E80DCB439BDDAEEB1</vt:lpwstr>
  </property>
</Properties>
</file>