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2B2F" w14:textId="7FDF94E0" w:rsidR="004A7D86" w:rsidRPr="001E448D" w:rsidRDefault="001E77D1">
      <w:pPr>
        <w:pStyle w:val="Heading1"/>
        <w:spacing w:before="39"/>
        <w:ind w:firstLine="19"/>
        <w:rPr>
          <w:rFonts w:asciiTheme="minorHAnsi" w:hAnsiTheme="minorHAnsi" w:cstheme="minorHAnsi"/>
          <w:b w:val="0"/>
          <w:lang w:val="es-ES_tradnl"/>
        </w:rPr>
      </w:pPr>
      <w:r w:rsidRPr="001E448D">
        <w:rPr>
          <w:rFonts w:asciiTheme="minorHAnsi" w:hAnsiTheme="minorHAnsi" w:cstheme="minorHAnsi"/>
          <w:lang w:val="es-ES_tradnl"/>
        </w:rPr>
        <w:t>CAFÉ Y CADÁVERES</w:t>
      </w:r>
    </w:p>
    <w:p w14:paraId="5FB5942C" w14:textId="77777777" w:rsidR="004A7D86" w:rsidRPr="001E448D" w:rsidRDefault="004A7D86">
      <w:pPr>
        <w:spacing w:before="19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54023D9D" w14:textId="6F39C912" w:rsidR="004A7D86" w:rsidRPr="001E448D" w:rsidRDefault="00000000" w:rsidP="004A47E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19" w:right="120"/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Isaac Newton determin</w:t>
      </w:r>
      <w:r w:rsidR="001E448D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ó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="001E448D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l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a </w:t>
      </w:r>
      <w:r w:rsidR="005F371B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fórmula</w:t>
      </w:r>
      <w:r w:rsidR="005F371B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para la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temperatur</w:t>
      </w:r>
      <w:r w:rsidR="005F371B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</w:t>
      </w:r>
      <w:r w:rsidR="00891A4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, </w:t>
      </w:r>
      <w:r w:rsidRPr="001E448D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T</w:t>
      </w:r>
      <w:r w:rsidR="00891A4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,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="005F371B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de un líquido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Pr="001E448D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t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minut</w:t>
      </w:r>
      <w:r w:rsidR="005F371B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o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s</w:t>
      </w:r>
      <w:r w:rsidR="005F371B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después de colocarlo en una habitación con una temperatura específica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, </w:t>
      </w:r>
      <w:r w:rsidR="005F371B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llamada temperatura ambiental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o </w:t>
      </w:r>
      <w:r w:rsidRPr="001E448D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T</w:t>
      </w:r>
      <w:r w:rsidR="00A41E9C" w:rsidRPr="001E448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s-ES_tradnl"/>
        </w:rPr>
        <w:t>e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.</w:t>
      </w:r>
      <w:r w:rsidR="005F371B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="00CC0CAE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La fórmula depende de </w:t>
      </w:r>
      <w:r w:rsidR="00FE71A6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la temperatura inicial del líquido</w:t>
      </w:r>
      <w:r w:rsidR="00891A4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,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Pr="001E448D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T</w:t>
      </w:r>
      <w:r w:rsidR="00A41E9C" w:rsidRPr="001E448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  <w:lang w:val="es-ES_tradnl"/>
        </w:rPr>
        <w:t>i</w:t>
      </w:r>
      <w:r w:rsidR="00891A4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,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y de un contante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Pr="001E448D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k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, 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que depende de las propiedades del líquido específico, así como de las propiedades del ambiente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(hum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edad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, 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presión atmosférica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, etc.). 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La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f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ó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rmula 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e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s:</w:t>
      </w:r>
    </w:p>
    <w:p w14:paraId="7502A3DF" w14:textId="4C1AAAAA" w:rsidR="004A7D86" w:rsidRPr="001E448D" w:rsidRDefault="001C797A" w:rsidP="00891A40">
      <w:pPr>
        <w:pStyle w:val="Heading1"/>
        <w:ind w:left="720" w:hanging="682"/>
        <w:jc w:val="center"/>
        <w:rPr>
          <w:rFonts w:ascii="Times New Roman" w:hAnsi="Times New Roman" w:cs="Times New Roman"/>
          <w:b w:val="0"/>
          <w:color w:val="910D28"/>
          <w:sz w:val="24"/>
          <w:szCs w:val="24"/>
          <w:lang w:val="es-ES_tradnl"/>
        </w:rPr>
      </w:pPr>
      <w:r>
        <w:rPr>
          <w:rFonts w:asciiTheme="minorHAnsi" w:hAnsiTheme="minorHAnsi" w:cstheme="minorHAnsi"/>
          <w:color w:val="910D28"/>
          <w:sz w:val="24"/>
          <w:szCs w:val="24"/>
          <w:lang w:val="es-ES_tradnl"/>
        </w:rPr>
        <w:t xml:space="preserve">Ley del Enfriamiento de </w:t>
      </w:r>
      <w:r w:rsidRPr="001E448D">
        <w:rPr>
          <w:rFonts w:asciiTheme="minorHAnsi" w:hAnsiTheme="minorHAnsi" w:cstheme="minorHAnsi"/>
          <w:color w:val="910D28"/>
          <w:sz w:val="24"/>
          <w:szCs w:val="24"/>
          <w:lang w:val="es-ES_tradnl"/>
        </w:rPr>
        <w:t>Newton:</w:t>
      </w:r>
      <w:r w:rsidR="00DB7471" w:rsidRPr="001E448D">
        <w:rPr>
          <w:rFonts w:asciiTheme="minorHAnsi" w:hAnsiTheme="minorHAnsi" w:cstheme="minorHAnsi"/>
          <w:color w:val="910D28"/>
          <w:sz w:val="24"/>
          <w:szCs w:val="24"/>
          <w:lang w:val="es-ES_tradnl"/>
        </w:rPr>
        <w:t xml:space="preserve"> </w:t>
      </w:r>
      <w:r w:rsidR="00F870EA" w:rsidRPr="00F870EA">
        <w:rPr>
          <w:rFonts w:asciiTheme="minorHAnsi" w:hAnsiTheme="minorHAnsi" w:cstheme="minorHAnsi"/>
          <w:noProof/>
          <w:color w:val="910D28"/>
          <w:position w:val="-14"/>
          <w:sz w:val="24"/>
          <w:szCs w:val="24"/>
          <w:lang w:val="es-ES_tradnl"/>
        </w:rPr>
        <w:object w:dxaOrig="2260" w:dyaOrig="400" w14:anchorId="492FD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3.1pt;height:19.9pt;mso-width-percent:0;mso-height-percent:0;mso-width-percent:0;mso-height-percent:0" o:ole="">
            <v:imagedata r:id="rId8" o:title=""/>
          </v:shape>
          <o:OLEObject Type="Embed" ProgID="Equation.DSMT4" ShapeID="_x0000_i1025" DrawAspect="Content" ObjectID="_1742121130" r:id="rId9"/>
        </w:object>
      </w:r>
    </w:p>
    <w:p w14:paraId="01559B2D" w14:textId="77777777" w:rsidR="004A7D86" w:rsidRPr="001E448D" w:rsidRDefault="004A7D86">
      <w:pPr>
        <w:spacing w:before="9"/>
        <w:rPr>
          <w:rFonts w:asciiTheme="minorHAnsi" w:hAnsiTheme="minorHAnsi" w:cstheme="minorHAnsi"/>
          <w:sz w:val="24"/>
          <w:szCs w:val="24"/>
          <w:lang w:val="es-ES_tradnl"/>
        </w:rPr>
      </w:pPr>
    </w:p>
    <w:p w14:paraId="4C2EB5E2" w14:textId="2BB55B66" w:rsidR="004A7D86" w:rsidRPr="001E448D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20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Us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 la Ley del enfriamiento de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Newton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para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re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solve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r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el siguiente 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problem</w:t>
      </w:r>
      <w:r w:rsidR="001C797A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.</w:t>
      </w:r>
    </w:p>
    <w:p w14:paraId="37048335" w14:textId="7747377A" w:rsidR="004A7D86" w:rsidRPr="001E448D" w:rsidRDefault="008D495C" w:rsidP="008D495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19" w:right="252"/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bookmarkStart w:id="0" w:name="_heading=h.gjdgxs" w:colFirst="0" w:colLast="0"/>
      <w:bookmarkEnd w:id="0"/>
      <w:r w:rsidRPr="008D495C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La última cadena de cafés de moda, 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Café </w:t>
      </w:r>
      <w:proofErr w:type="spellStart"/>
      <w:r w:rsidRPr="008D495C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Moondoe</w:t>
      </w:r>
      <w:proofErr w:type="spellEnd"/>
      <w:r w:rsidRPr="008D495C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, quiere vender tazas térmicas rellenables para sus consumidores con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con</w:t>
      </w:r>
      <w:r w:rsidRPr="008D495C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ciencia ambient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al</w:t>
      </w:r>
      <w:r w:rsidRPr="008D495C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. Han determinado que, para que su café tenga el mejor sabor, debe prepararse entre 200°F y 220°F. </w:t>
      </w:r>
      <w:r w:rsidR="004B2379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Aun así</w:t>
      </w:r>
      <w:r w:rsidRPr="008D495C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, debe enfriarse a 180°F para que sea seguro beberlo. Desgraciadamente, si la temperatura desciende por debajo de 130°F, el café está demasiado frío para que sepa bien. Por ello, </w:t>
      </w:r>
      <w:r w:rsidR="004B2379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Café </w:t>
      </w:r>
      <w:proofErr w:type="spellStart"/>
      <w:r w:rsidRPr="008D495C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Moondoe</w:t>
      </w:r>
      <w:proofErr w:type="spellEnd"/>
      <w:r w:rsidRPr="008D495C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busca un recipiente que se ajuste a los siguientes criterios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:</w:t>
      </w:r>
    </w:p>
    <w:p w14:paraId="432A60F8" w14:textId="5D84F951" w:rsidR="004A7D86" w:rsidRPr="001E448D" w:rsidRDefault="000169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line="276" w:lineRule="auto"/>
        <w:ind w:left="1199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01698E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Capaz de mantener 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sin peligro </w:t>
      </w:r>
      <w:r w:rsidRPr="0001698E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el café a una temperatura de al menos 200°F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;</w:t>
      </w:r>
    </w:p>
    <w:p w14:paraId="4BD6E655" w14:textId="44E071D1" w:rsidR="004A7D86" w:rsidRPr="001E448D" w:rsidRDefault="0001698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00"/>
        </w:tabs>
        <w:spacing w:line="276" w:lineRule="auto"/>
        <w:ind w:left="1200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01698E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Enfríe el café a la temperatura máxima segura de 180°F lo más rápido posible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;</w:t>
      </w:r>
    </w:p>
    <w:p w14:paraId="0E4F155C" w14:textId="1F2A411A" w:rsidR="004A7D86" w:rsidRPr="001E448D" w:rsidRDefault="007D02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after="240" w:line="276" w:lineRule="auto"/>
        <w:ind w:left="1195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7D02A4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Mantiene los líquidos entre 180°F y 130°F durante el mayor tiempo posible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.</w:t>
      </w:r>
    </w:p>
    <w:p w14:paraId="0AF33308" w14:textId="733826CE" w:rsidR="004A7D86" w:rsidRPr="001E448D" w:rsidRDefault="007D02A4" w:rsidP="004A47E0">
      <w:p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Café </w:t>
      </w:r>
      <w:proofErr w:type="spellStart"/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Moondoe</w:t>
      </w:r>
      <w:proofErr w:type="spellEnd"/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ha investigado tres productos de tazas térmicas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. </w:t>
      </w:r>
      <w:r w:rsidR="005104A7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Los anuncios de los tres productos hacen las siguientes promesas</w:t>
      </w: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:</w:t>
      </w:r>
    </w:p>
    <w:p w14:paraId="69F14986" w14:textId="77777777" w:rsidR="004A47E0" w:rsidRPr="001E448D" w:rsidRDefault="004A47E0" w:rsidP="004A47E0">
      <w:pPr>
        <w:pBdr>
          <w:top w:val="nil"/>
          <w:left w:val="nil"/>
          <w:bottom w:val="nil"/>
          <w:right w:val="nil"/>
          <w:between w:val="nil"/>
        </w:pBdr>
        <w:tabs>
          <w:tab w:val="left" w:pos="1199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</w:p>
    <w:p w14:paraId="2EF96DC2" w14:textId="2A4153BF" w:rsidR="004A7D86" w:rsidRPr="001E448D" w:rsidRDefault="00263A3D" w:rsidP="004A4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35" w:right="259"/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Cuando se u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s</w:t>
      </w:r>
      <w:r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a a temperatura ambiente (70°F), el Asombroso </w:t>
      </w:r>
      <w:proofErr w:type="spellStart"/>
      <w:r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Aerotermo</w:t>
      </w:r>
      <w:proofErr w:type="spellEnd"/>
      <w:r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de Amos puede 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contener</w:t>
      </w:r>
      <w:r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café hasta 220°F y lo enfría hasta una temperatura 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de consumo</w:t>
      </w:r>
      <w:r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de 180°F ¡en sólo tres minutos</w:t>
      </w:r>
      <w:r w:rsidR="0000000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!</w:t>
      </w:r>
    </w:p>
    <w:p w14:paraId="31F479A1" w14:textId="37EBD00D" w:rsidR="004A7D86" w:rsidRPr="001E448D" w:rsidRDefault="00000000" w:rsidP="004A4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35" w:right="259"/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</w:t>
      </w:r>
      <w:r w:rsidR="00263A3D"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Cuando se usa a temperatura ambiente (70°F), la Taza de Bobo para tu </w:t>
      </w:r>
      <w:proofErr w:type="spellStart"/>
      <w:r w:rsidR="00263A3D"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JoJoe</w:t>
      </w:r>
      <w:proofErr w:type="spellEnd"/>
      <w:r w:rsidR="00263A3D"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puede </w:t>
      </w:r>
      <w:r w:rsidR="005E0FA6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contener</w:t>
      </w:r>
      <w:r w:rsidR="00263A3D"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café de hasta 200°F y mantendrá la temperatura de tu café entre 180°F y 130°F </w:t>
      </w:r>
      <w:r w:rsid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¡</w:t>
      </w:r>
      <w:r w:rsidR="00263A3D" w:rsidRP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durante una hora entera</w:t>
      </w:r>
      <w:r w:rsidR="00263A3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!</w:t>
      </w:r>
    </w:p>
    <w:p w14:paraId="0AEADA47" w14:textId="1AB695CB" w:rsidR="004A7D86" w:rsidRPr="001E448D" w:rsidRDefault="005E0FA6" w:rsidP="004A47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835" w:right="259"/>
        <w:jc w:val="both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Cuando se usa a temperatura ambiente</w:t>
      </w:r>
      <w:r w:rsidR="0000000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(70</w:t>
      </w:r>
      <w:r w:rsidR="007A3276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°</w:t>
      </w:r>
      <w:r w:rsidR="0000000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F), 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la Súper Jarra de Café de </w:t>
      </w:r>
      <w:r w:rsidR="0000000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Caite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puede contener café hasta</w:t>
      </w:r>
      <w:r w:rsidR="0000000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210</w:t>
      </w:r>
      <w:r w:rsidR="007A3276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°</w:t>
      </w:r>
      <w:r w:rsidR="0000000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F </w:t>
      </w: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y lo mantiene dentro del rango de temperatura adecuada para consumo ¡cuatro veces más que el Asombroso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Aerotermo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 de Amos</w:t>
      </w:r>
      <w:r w:rsidR="0000000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!</w:t>
      </w:r>
    </w:p>
    <w:p w14:paraId="6EC47F87" w14:textId="243B86FE" w:rsidR="004A7D86" w:rsidRPr="001E448D" w:rsidRDefault="005E0FA6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119" w:right="310"/>
        <w:rPr>
          <w:rFonts w:asciiTheme="minorHAnsi" w:hAnsiTheme="minorHAnsi" w:cstheme="minorHAnsi"/>
          <w:color w:val="000000"/>
          <w:sz w:val="24"/>
          <w:szCs w:val="24"/>
          <w:lang w:val="es-ES_tradnl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 xml:space="preserve">Teniendo en cuenta esta información y los tres requisitos de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Moondoe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, ¿cuál taza térmica deberían ofrecerles a sus clientes</w:t>
      </w:r>
      <w:r w:rsidR="00000000" w:rsidRPr="001E448D">
        <w:rPr>
          <w:rFonts w:asciiTheme="minorHAnsi" w:hAnsiTheme="minorHAnsi" w:cstheme="minorHAnsi"/>
          <w:color w:val="000000"/>
          <w:sz w:val="24"/>
          <w:szCs w:val="24"/>
          <w:lang w:val="es-ES_tradnl"/>
        </w:rPr>
        <w:t>?</w:t>
      </w:r>
    </w:p>
    <w:sectPr w:rsidR="004A7D86" w:rsidRPr="001E44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00" w:right="1340" w:bottom="280" w:left="1320" w:header="720" w:footer="1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9EA4" w14:textId="77777777" w:rsidR="00F870EA" w:rsidRDefault="00F870EA">
      <w:r>
        <w:separator/>
      </w:r>
    </w:p>
  </w:endnote>
  <w:endnote w:type="continuationSeparator" w:id="0">
    <w:p w14:paraId="5DAC6ECE" w14:textId="77777777" w:rsidR="00F870EA" w:rsidRDefault="00F8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EB51" w14:textId="77777777" w:rsidR="002F3C79" w:rsidRDefault="002F3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53D4D" w14:textId="77777777" w:rsidR="004A7D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10BA0DC" wp14:editId="4626FAC1">
          <wp:simplePos x="0" y="0"/>
          <wp:positionH relativeFrom="column">
            <wp:posOffset>1047750</wp:posOffset>
          </wp:positionH>
          <wp:positionV relativeFrom="paragraph">
            <wp:posOffset>96520</wp:posOffset>
          </wp:positionV>
          <wp:extent cx="4572000" cy="316865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06E87FE" wp14:editId="0B63F8DD">
              <wp:simplePos x="0" y="0"/>
              <wp:positionH relativeFrom="column">
                <wp:posOffset>2501900</wp:posOffset>
              </wp:positionH>
              <wp:positionV relativeFrom="paragraph">
                <wp:posOffset>9334500</wp:posOffset>
              </wp:positionV>
              <wp:extent cx="4010025" cy="238125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63E2C" w14:textId="77777777" w:rsidR="004A7D86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THE BIGGEST LOSER</w:t>
                          </w:r>
                        </w:p>
                        <w:p w14:paraId="7DDC0FCC" w14:textId="77777777" w:rsidR="004A7D86" w:rsidRDefault="004A7D8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E87FE" id="Rectangle 6" o:spid="_x0000_s1026" style="position:absolute;margin-left:197pt;margin-top:735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" filled="f" stroked="f">
              <v:textbox inset="2.53958mm,1.2694mm,2.53958mm,1.2694mm">
                <w:txbxContent>
                  <w:p w14:paraId="6B963E2C" w14:textId="77777777" w:rsidR="004A7D86" w:rsidRDefault="00000000">
                    <w:pPr>
                      <w:textDirection w:val="btLr"/>
                    </w:pPr>
                    <w:r>
                      <w:rPr>
                        <w:color w:val="000000"/>
                      </w:rPr>
                      <w:t>THE BIGGEST LOSER</w:t>
                    </w:r>
                  </w:p>
                  <w:p w14:paraId="7DDC0FCC" w14:textId="77777777" w:rsidR="004A7D86" w:rsidRDefault="004A7D8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54EE4BE" wp14:editId="0EAA182E">
              <wp:simplePos x="0" y="0"/>
              <wp:positionH relativeFrom="column">
                <wp:posOffset>2501900</wp:posOffset>
              </wp:positionH>
              <wp:positionV relativeFrom="paragraph">
                <wp:posOffset>9334500</wp:posOffset>
              </wp:positionV>
              <wp:extent cx="4010025" cy="238125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5257F" w14:textId="77777777" w:rsidR="004A7D86" w:rsidRDefault="00000000">
                          <w:pPr>
                            <w:spacing w:after="240"/>
                            <w:jc w:val="right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2D2D2D"/>
                              <w:sz w:val="32"/>
                            </w:rPr>
                            <w:t>THE BIGGEST LOSER</w:t>
                          </w:r>
                        </w:p>
                        <w:p w14:paraId="59AC7571" w14:textId="77777777" w:rsidR="004A7D86" w:rsidRDefault="004A7D8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4EE4BE" id="Rectangle 8" o:spid="_x0000_s1027" style="position:absolute;margin-left:197pt;margin-top:735pt;width:315.7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" filled="f" stroked="f">
              <v:textbox inset="2.53958mm,1.2694mm,2.53958mm,1.2694mm">
                <w:txbxContent>
                  <w:p w14:paraId="6AF5257F" w14:textId="77777777" w:rsidR="004A7D86" w:rsidRDefault="00000000">
                    <w:pPr>
                      <w:spacing w:after="240"/>
                      <w:jc w:val="right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2D2D2D"/>
                        <w:sz w:val="32"/>
                      </w:rPr>
                      <w:t>THE BIGGEST LOSER</w:t>
                    </w:r>
                  </w:p>
                  <w:p w14:paraId="59AC7571" w14:textId="77777777" w:rsidR="004A7D86" w:rsidRDefault="004A7D8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E6E574E" wp14:editId="5A1826D2">
              <wp:simplePos x="0" y="0"/>
              <wp:positionH relativeFrom="column">
                <wp:posOffset>1320800</wp:posOffset>
              </wp:positionH>
              <wp:positionV relativeFrom="paragraph">
                <wp:posOffset>58420</wp:posOffset>
              </wp:positionV>
              <wp:extent cx="3841750" cy="271780"/>
              <wp:effectExtent l="0" t="0" r="0" b="0"/>
              <wp:wrapSquare wrapText="bothSides" distT="45720" distB="45720" distL="114300" distR="11430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29888" y="3648873"/>
                        <a:ext cx="3832225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736ABD" w14:textId="08937C70" w:rsidR="004A7D86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 xml:space="preserve">COFFEE </w:t>
                          </w:r>
                          <w:r w:rsidR="002F3C79">
                            <w:rPr>
                              <w:b/>
                              <w:color w:val="000000"/>
                            </w:rPr>
                            <w:t>AND CORPSES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6E574E" id="Rectangle 7" o:spid="_x0000_s1028" style="position:absolute;margin-left:104pt;margin-top:4.6pt;width:302.5pt;height:21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" filled="f" stroked="f">
              <v:textbox inset="2.53958mm,1.2694mm,2.53958mm,1.2694mm">
                <w:txbxContent>
                  <w:p w14:paraId="68736ABD" w14:textId="08937C70" w:rsidR="004A7D86" w:rsidRDefault="00000000">
                    <w:pPr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 xml:space="preserve">COFFEE </w:t>
                    </w:r>
                    <w:r w:rsidR="002F3C79">
                      <w:rPr>
                        <w:b/>
                        <w:color w:val="000000"/>
                      </w:rPr>
                      <w:t>AND CORPSES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CF0F3" w14:textId="77777777" w:rsidR="002F3C79" w:rsidRDefault="002F3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59EC" w14:textId="77777777" w:rsidR="00F870EA" w:rsidRDefault="00F870EA">
      <w:r>
        <w:separator/>
      </w:r>
    </w:p>
  </w:footnote>
  <w:footnote w:type="continuationSeparator" w:id="0">
    <w:p w14:paraId="6F3FD62E" w14:textId="77777777" w:rsidR="00F870EA" w:rsidRDefault="00F8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BDE49" w14:textId="77777777" w:rsidR="002F3C79" w:rsidRDefault="002F3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4B0A" w14:textId="77777777" w:rsidR="002F3C79" w:rsidRDefault="002F3C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FC49" w14:textId="77777777" w:rsidR="002F3C79" w:rsidRDefault="002F3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4363"/>
    <w:multiLevelType w:val="multilevel"/>
    <w:tmpl w:val="FE104E6E"/>
    <w:lvl w:ilvl="0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6DAA6F96"/>
    <w:multiLevelType w:val="multilevel"/>
    <w:tmpl w:val="33129F7E"/>
    <w:lvl w:ilvl="0">
      <w:start w:val="1"/>
      <w:numFmt w:val="upperLetter"/>
      <w:lvlText w:val="%1."/>
      <w:lvlJc w:val="left"/>
      <w:pPr>
        <w:ind w:left="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0" w:firstLine="0"/>
      </w:p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num w:numId="1" w16cid:durableId="617220073">
    <w:abstractNumId w:val="1"/>
  </w:num>
  <w:num w:numId="2" w16cid:durableId="125057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D86"/>
    <w:rsid w:val="0001698E"/>
    <w:rsid w:val="001A6F89"/>
    <w:rsid w:val="001C797A"/>
    <w:rsid w:val="001E448D"/>
    <w:rsid w:val="001E77D1"/>
    <w:rsid w:val="00263A3D"/>
    <w:rsid w:val="002F3C79"/>
    <w:rsid w:val="003510F0"/>
    <w:rsid w:val="004913CE"/>
    <w:rsid w:val="004A47E0"/>
    <w:rsid w:val="004A7D86"/>
    <w:rsid w:val="004B2379"/>
    <w:rsid w:val="005104A7"/>
    <w:rsid w:val="0059579B"/>
    <w:rsid w:val="005E0FA6"/>
    <w:rsid w:val="005F371B"/>
    <w:rsid w:val="00600F6F"/>
    <w:rsid w:val="006C077B"/>
    <w:rsid w:val="00792929"/>
    <w:rsid w:val="007976A9"/>
    <w:rsid w:val="007A3276"/>
    <w:rsid w:val="007D02A4"/>
    <w:rsid w:val="00891A40"/>
    <w:rsid w:val="008A3D5D"/>
    <w:rsid w:val="008D495C"/>
    <w:rsid w:val="009309B4"/>
    <w:rsid w:val="00945FFD"/>
    <w:rsid w:val="00A41E9C"/>
    <w:rsid w:val="00AC392F"/>
    <w:rsid w:val="00CC0CAE"/>
    <w:rsid w:val="00D17BC5"/>
    <w:rsid w:val="00DB7471"/>
    <w:rsid w:val="00E52E30"/>
    <w:rsid w:val="00ED4C72"/>
    <w:rsid w:val="00F870EA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3CC9E"/>
  <w15:docId w15:val="{AC34DDF9-EE5E-0140-82C2-372FBCC0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82D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D5"/>
  </w:style>
  <w:style w:type="paragraph" w:styleId="Footer">
    <w:name w:val="footer"/>
    <w:basedOn w:val="Normal"/>
    <w:link w:val="FooterChar"/>
    <w:uiPriority w:val="99"/>
    <w:unhideWhenUsed/>
    <w:rsid w:val="00882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D5"/>
  </w:style>
  <w:style w:type="paragraph" w:customStyle="1" w:styleId="LessonFooter">
    <w:name w:val="Lesson Footer"/>
    <w:basedOn w:val="Title"/>
    <w:next w:val="Footer"/>
    <w:link w:val="LessonFooterChar"/>
    <w:autoRedefine/>
    <w:qFormat/>
    <w:rsid w:val="00882DD5"/>
    <w:pPr>
      <w:widowControl/>
      <w:spacing w:after="240"/>
      <w:contextualSpacing w:val="0"/>
      <w:jc w:val="right"/>
    </w:pPr>
    <w:rPr>
      <w:b/>
      <w:color w:val="2D2D2D"/>
      <w:sz w:val="32"/>
    </w:rPr>
  </w:style>
  <w:style w:type="character" w:customStyle="1" w:styleId="LessonFooterChar">
    <w:name w:val="Lesson Footer Char"/>
    <w:basedOn w:val="TitleChar"/>
    <w:link w:val="LessonFooter"/>
    <w:rsid w:val="00882DD5"/>
    <w:rPr>
      <w:rFonts w:asciiTheme="majorHAnsi" w:eastAsiaTheme="majorEastAsia" w:hAnsiTheme="majorHAnsi" w:cstheme="majorBidi"/>
      <w:b/>
      <w:color w:val="2D2D2D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C07AD0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VfO2377BbRZQ9aGDiyMmpHBC6bg==">AMUW2mWTbZbctIqUwSBPpsC5zlwdmFwZBp+ZyFMIxje3AUrjK8UI99iBjj1o8JxyOaf/wxtTEV2vSiOkwUJ336eo1kIqmpryMNa+tTTiv4X6b/DaO+7MPY322+lMD0hoGEROa76JYRUj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380</Words>
  <Characters>1782</Characters>
  <Application>Microsoft Office Word</Application>
  <DocSecurity>0</DocSecurity>
  <Lines>89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and Corpses</dc:title>
  <dc:creator>K20 Center</dc:creator>
  <cp:lastModifiedBy>Lopez, Araceli</cp:lastModifiedBy>
  <cp:revision>16</cp:revision>
  <dcterms:created xsi:type="dcterms:W3CDTF">2023-03-30T13:55:00Z</dcterms:created>
  <dcterms:modified xsi:type="dcterms:W3CDTF">2023-04-04T18:44:00Z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LastSaved">
    <vt:filetime>2016-07-11T00:00:00Z</vt:filetime>
  </property>
  <property fmtid="{D5CDD505-2E9C-101B-9397-08002B2CF9AE}" pid="4" name="MTWinEqns">
    <vt:bool>true</vt:bool>
  </property>
</Properties>
</file>