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F5D0B1" w14:textId="5EC9171F" w:rsidR="00A921C9" w:rsidRPr="0058381F" w:rsidRDefault="002066D1">
      <w:pPr>
        <w:pStyle w:val="Title"/>
        <w:rPr>
          <w:lang w:val="es-ES_tradnl"/>
        </w:rPr>
      </w:pPr>
      <w:r w:rsidRPr="0058381F">
        <w:rPr>
          <w:lang w:val="es-ES_tradnl"/>
        </w:rPr>
        <w:t>TARJETAS DE RECLAMACIONES: EXTEN</w:t>
      </w:r>
      <w:r w:rsidR="00AC3C2A">
        <w:rPr>
          <w:lang w:val="es-ES_tradnl"/>
        </w:rPr>
        <w:t>SIÓN</w:t>
      </w:r>
    </w:p>
    <w:tbl>
      <w:tblPr>
        <w:tblStyle w:val="TableGrid"/>
        <w:tblW w:w="0" w:type="auto"/>
        <w:tblBorders>
          <w:top w:val="single" w:sz="4" w:space="0" w:color="BED7D3"/>
          <w:left w:val="single" w:sz="4" w:space="0" w:color="BED7D3"/>
          <w:bottom w:val="single" w:sz="4" w:space="0" w:color="BED7D3"/>
          <w:right w:val="single" w:sz="4" w:space="0" w:color="BED7D3"/>
          <w:insideH w:val="single" w:sz="4" w:space="0" w:color="BED7D3"/>
          <w:insideV w:val="single" w:sz="4" w:space="0" w:color="BED7D3"/>
        </w:tblBorders>
        <w:tblLook w:val="04A0" w:firstRow="1" w:lastRow="0" w:firstColumn="1" w:lastColumn="0" w:noHBand="0" w:noVBand="1"/>
      </w:tblPr>
      <w:tblGrid>
        <w:gridCol w:w="9350"/>
      </w:tblGrid>
      <w:tr w:rsidR="00D64AD1" w:rsidRPr="0058381F" w14:paraId="29FF63CD" w14:textId="77777777" w:rsidTr="005B2CA3">
        <w:tc>
          <w:tcPr>
            <w:tcW w:w="9350" w:type="dxa"/>
          </w:tcPr>
          <w:p w14:paraId="3E539904" w14:textId="18834A8C" w:rsidR="00D64AD1" w:rsidRPr="0058381F" w:rsidRDefault="00D64AD1" w:rsidP="00D64AD1">
            <w:pPr>
              <w:pStyle w:val="Heading1"/>
              <w:rPr>
                <w:lang w:val="es-ES_tradnl"/>
              </w:rPr>
            </w:pPr>
            <w:r w:rsidRPr="0058381F">
              <w:rPr>
                <w:lang w:val="es-ES_tradnl"/>
              </w:rPr>
              <w:t>Cas</w:t>
            </w:r>
            <w:r w:rsidR="009F750E">
              <w:rPr>
                <w:lang w:val="es-ES_tradnl"/>
              </w:rPr>
              <w:t>o</w:t>
            </w:r>
            <w:r w:rsidRPr="0058381F">
              <w:rPr>
                <w:lang w:val="es-ES_tradnl"/>
              </w:rPr>
              <w:t xml:space="preserve"> #1: </w:t>
            </w:r>
            <w:proofErr w:type="spellStart"/>
            <w:r w:rsidRPr="0058381F">
              <w:rPr>
                <w:lang w:val="es-ES_tradnl"/>
              </w:rPr>
              <w:t>Schenck</w:t>
            </w:r>
            <w:proofErr w:type="spellEnd"/>
            <w:r w:rsidRPr="0058381F">
              <w:rPr>
                <w:lang w:val="es-ES_tradnl"/>
              </w:rPr>
              <w:t xml:space="preserve"> </w:t>
            </w:r>
            <w:r w:rsidR="0058381F" w:rsidRPr="0058381F">
              <w:rPr>
                <w:lang w:val="es-ES_tradnl"/>
              </w:rPr>
              <w:t>contra</w:t>
            </w:r>
            <w:r w:rsidRPr="0058381F">
              <w:rPr>
                <w:lang w:val="es-ES_tradnl"/>
              </w:rPr>
              <w:t xml:space="preserve"> </w:t>
            </w:r>
            <w:r w:rsidR="00AC3C2A">
              <w:rPr>
                <w:lang w:val="es-ES_tradnl"/>
              </w:rPr>
              <w:t xml:space="preserve">Estados </w:t>
            </w:r>
            <w:r w:rsidRPr="0058381F">
              <w:rPr>
                <w:lang w:val="es-ES_tradnl"/>
              </w:rPr>
              <w:t>Uni</w:t>
            </w:r>
            <w:r w:rsidR="00AC3C2A">
              <w:rPr>
                <w:lang w:val="es-ES_tradnl"/>
              </w:rPr>
              <w:t>dos</w:t>
            </w:r>
          </w:p>
          <w:p w14:paraId="28220D64" w14:textId="21C0AFE6" w:rsidR="00D64AD1" w:rsidRPr="0058381F" w:rsidRDefault="004D1BA2" w:rsidP="00D64AD1">
            <w:pPr>
              <w:pStyle w:val="Heading1"/>
              <w:rPr>
                <w:b w:val="0"/>
                <w:color w:val="000000"/>
                <w:lang w:val="es-ES_tradnl"/>
              </w:rPr>
            </w:pPr>
            <w:r>
              <w:rPr>
                <w:lang w:val="es-ES_tradnl"/>
              </w:rPr>
              <w:t>Defendido</w:t>
            </w:r>
            <w:r w:rsidR="00D64AD1" w:rsidRPr="0058381F">
              <w:rPr>
                <w:lang w:val="es-ES_tradnl"/>
              </w:rPr>
              <w:t>:</w:t>
            </w:r>
            <w:r>
              <w:rPr>
                <w:lang w:val="es-ES_tradnl"/>
              </w:rPr>
              <w:t xml:space="preserve"> </w:t>
            </w:r>
            <w:r w:rsidR="00D64AD1" w:rsidRPr="0058381F">
              <w:rPr>
                <w:b w:val="0"/>
                <w:color w:val="000000"/>
                <w:lang w:val="es-ES_tradnl"/>
              </w:rPr>
              <w:t>9-10</w:t>
            </w:r>
            <w:r w:rsidR="0058381F" w:rsidRPr="0058381F">
              <w:rPr>
                <w:b w:val="0"/>
                <w:color w:val="000000"/>
                <w:lang w:val="es-ES_tradnl"/>
              </w:rPr>
              <w:t xml:space="preserve"> de enero</w:t>
            </w:r>
            <w:r w:rsidR="00D64AD1" w:rsidRPr="0058381F">
              <w:rPr>
                <w:b w:val="0"/>
                <w:color w:val="000000"/>
                <w:lang w:val="es-ES_tradnl"/>
              </w:rPr>
              <w:t>, 1919</w:t>
            </w:r>
          </w:p>
          <w:p w14:paraId="3D686E20" w14:textId="138E60C5" w:rsidR="00D64AD1" w:rsidRPr="0058381F" w:rsidRDefault="00D64AD1" w:rsidP="00D64AD1">
            <w:pPr>
              <w:pStyle w:val="Heading1"/>
              <w:rPr>
                <w:b w:val="0"/>
                <w:color w:val="000000"/>
                <w:lang w:val="es-ES_tradnl"/>
              </w:rPr>
            </w:pPr>
            <w:r w:rsidRPr="0058381F">
              <w:rPr>
                <w:lang w:val="es-ES_tradnl"/>
              </w:rPr>
              <w:t>Decid</w:t>
            </w:r>
            <w:r w:rsidR="00684CBA">
              <w:rPr>
                <w:lang w:val="es-ES_tradnl"/>
              </w:rPr>
              <w:t>ido</w:t>
            </w:r>
            <w:r w:rsidRPr="0058381F">
              <w:rPr>
                <w:lang w:val="es-ES_tradnl"/>
              </w:rPr>
              <w:t>:</w:t>
            </w:r>
            <w:r w:rsidRPr="0058381F">
              <w:rPr>
                <w:b w:val="0"/>
                <w:color w:val="000000"/>
                <w:lang w:val="es-ES_tradnl"/>
              </w:rPr>
              <w:t xml:space="preserve"> 3</w:t>
            </w:r>
            <w:r w:rsidR="0058381F" w:rsidRPr="0058381F">
              <w:rPr>
                <w:b w:val="0"/>
                <w:color w:val="000000"/>
                <w:lang w:val="es-ES_tradnl"/>
              </w:rPr>
              <w:t xml:space="preserve"> de marzo</w:t>
            </w:r>
            <w:r w:rsidRPr="0058381F">
              <w:rPr>
                <w:b w:val="0"/>
                <w:color w:val="000000"/>
                <w:lang w:val="es-ES_tradnl"/>
              </w:rPr>
              <w:t>, 1919</w:t>
            </w:r>
          </w:p>
          <w:p w14:paraId="6A558F53" w14:textId="3F7B39E5" w:rsidR="00D64AD1" w:rsidRPr="0058381F" w:rsidRDefault="0058381F" w:rsidP="00D64AD1">
            <w:pPr>
              <w:pStyle w:val="Heading1"/>
              <w:rPr>
                <w:lang w:val="es-ES_tradnl"/>
              </w:rPr>
            </w:pPr>
            <w:r w:rsidRPr="0058381F">
              <w:rPr>
                <w:lang w:val="es-ES_tradnl"/>
              </w:rPr>
              <w:t>Los Hechos</w:t>
            </w:r>
            <w:r w:rsidR="00D64AD1" w:rsidRPr="0058381F">
              <w:rPr>
                <w:lang w:val="es-ES_tradnl"/>
              </w:rPr>
              <w:t>:</w:t>
            </w:r>
          </w:p>
          <w:p w14:paraId="5FD82707" w14:textId="77777777" w:rsidR="009F750E" w:rsidRPr="00993F76" w:rsidRDefault="009F750E" w:rsidP="009F750E">
            <w:pPr>
              <w:pStyle w:val="Heading1"/>
              <w:spacing w:before="0"/>
              <w:rPr>
                <w:b w:val="0"/>
                <w:color w:val="000000"/>
                <w:lang w:val="es-ES_tradnl"/>
              </w:rPr>
            </w:pPr>
            <w:r w:rsidRPr="00993F76">
              <w:rPr>
                <w:b w:val="0"/>
                <w:color w:val="000000"/>
                <w:lang w:val="es-ES_tradnl"/>
              </w:rPr>
              <w:t>Dur</w:t>
            </w:r>
            <w:r>
              <w:rPr>
                <w:b w:val="0"/>
                <w:color w:val="000000"/>
                <w:lang w:val="es-ES_tradnl"/>
              </w:rPr>
              <w:t>ante la Primera Guerra Mundial</w:t>
            </w:r>
            <w:r w:rsidRPr="00993F76">
              <w:rPr>
                <w:b w:val="0"/>
                <w:color w:val="000000"/>
                <w:lang w:val="es-ES_tradnl"/>
              </w:rPr>
              <w:t xml:space="preserve">, Charles </w:t>
            </w:r>
            <w:proofErr w:type="spellStart"/>
            <w:r w:rsidRPr="00993F76">
              <w:rPr>
                <w:b w:val="0"/>
                <w:color w:val="000000"/>
                <w:lang w:val="es-ES_tradnl"/>
              </w:rPr>
              <w:t>Schenck</w:t>
            </w:r>
            <w:proofErr w:type="spellEnd"/>
            <w:r w:rsidRPr="00993F76">
              <w:rPr>
                <w:b w:val="0"/>
                <w:color w:val="000000"/>
                <w:lang w:val="es-ES_tradnl"/>
              </w:rPr>
              <w:t xml:space="preserve"> </w:t>
            </w:r>
            <w:r>
              <w:rPr>
                <w:b w:val="0"/>
                <w:color w:val="000000"/>
                <w:lang w:val="es-ES_tradnl"/>
              </w:rPr>
              <w:t>y</w:t>
            </w:r>
            <w:r w:rsidRPr="00993F76">
              <w:rPr>
                <w:b w:val="0"/>
                <w:color w:val="000000"/>
                <w:lang w:val="es-ES_tradnl"/>
              </w:rPr>
              <w:t xml:space="preserve"> Elizabeth Baer distribu</w:t>
            </w:r>
            <w:r>
              <w:rPr>
                <w:b w:val="0"/>
                <w:color w:val="000000"/>
                <w:lang w:val="es-ES_tradnl"/>
              </w:rPr>
              <w:t>yeron un folleto a los soldados recién reclutados en el que los animaban a negarse a someterse a la llamada a filas por considerarla una forma de servidumbre.</w:t>
            </w:r>
          </w:p>
          <w:p w14:paraId="0F0C7606" w14:textId="2D5314DD" w:rsidR="00D64AD1" w:rsidRPr="0058381F" w:rsidRDefault="0058381F" w:rsidP="00D64AD1">
            <w:pPr>
              <w:pStyle w:val="Heading1"/>
              <w:rPr>
                <w:lang w:val="es-ES_tradnl"/>
              </w:rPr>
            </w:pPr>
            <w:r w:rsidRPr="0058381F">
              <w:rPr>
                <w:lang w:val="es-ES_tradnl"/>
              </w:rPr>
              <w:t>Cuestión</w:t>
            </w:r>
            <w:r w:rsidR="00D64AD1" w:rsidRPr="0058381F">
              <w:rPr>
                <w:lang w:val="es-ES_tradnl"/>
              </w:rPr>
              <w:t>:</w:t>
            </w:r>
          </w:p>
          <w:p w14:paraId="6C187C26" w14:textId="2AB09DB9" w:rsidR="00D64AD1" w:rsidRPr="0058381F" w:rsidRDefault="009F750E" w:rsidP="00D64AD1">
            <w:pPr>
              <w:rPr>
                <w:lang w:val="es-ES_tradnl"/>
              </w:rPr>
            </w:pPr>
            <w:r>
              <w:rPr>
                <w:lang w:val="es-ES_tradnl"/>
              </w:rPr>
              <w:t>Teniendo en cuenta el clima político, ¿estaban las acciones del acusado protegidas por la Primera Enmienda de la Constitución de los Estados Unidos</w:t>
            </w:r>
            <w:r w:rsidRPr="00993F76">
              <w:rPr>
                <w:lang w:val="es-ES_tradnl"/>
              </w:rPr>
              <w:t>?</w:t>
            </w:r>
          </w:p>
          <w:p w14:paraId="025FB1F3" w14:textId="0B12FD41" w:rsidR="00D64AD1" w:rsidRPr="0058381F" w:rsidRDefault="00DA1A77" w:rsidP="00D64AD1">
            <w:pPr>
              <w:pStyle w:val="Heading1"/>
              <w:rPr>
                <w:lang w:val="es-ES_tradnl"/>
              </w:rPr>
            </w:pPr>
            <w:r w:rsidRPr="0058381F">
              <w:rPr>
                <w:lang w:val="es-ES_tradnl"/>
              </w:rPr>
              <w:t>Conclusión</w:t>
            </w:r>
            <w:r w:rsidR="00D64AD1" w:rsidRPr="0058381F">
              <w:rPr>
                <w:lang w:val="es-ES_tradnl"/>
              </w:rPr>
              <w:t>:</w:t>
            </w:r>
          </w:p>
          <w:p w14:paraId="42289596" w14:textId="6BAC28B0" w:rsidR="00D64AD1" w:rsidRPr="0058381F" w:rsidRDefault="00DA1A77" w:rsidP="00D64AD1">
            <w:pPr>
              <w:rPr>
                <w:lang w:val="es-ES_tradnl"/>
              </w:rPr>
            </w:pPr>
            <w:r w:rsidRPr="00DA1A77">
              <w:rPr>
                <w:lang w:val="es-ES_tradnl"/>
              </w:rPr>
              <w:t>El juez Holmes dictaminó que, en circunstancias normales, el panfleto habría estado constitucionalmente protegido, pero la redacción depende de las circunstancias en las que se escribe. Por lo tanto, las palabras sí creaban un peligro claro y presente, ya que los hombres podían decidir no servir.</w:t>
            </w:r>
          </w:p>
        </w:tc>
      </w:tr>
      <w:tr w:rsidR="00D64AD1" w:rsidRPr="0058381F" w14:paraId="4A46EC17" w14:textId="77777777" w:rsidTr="005B2CA3">
        <w:tc>
          <w:tcPr>
            <w:tcW w:w="9350" w:type="dxa"/>
          </w:tcPr>
          <w:p w14:paraId="3E313A4C" w14:textId="1FEB9019" w:rsidR="00D64AD1" w:rsidRPr="0058381F" w:rsidRDefault="00D64AD1" w:rsidP="00D64AD1">
            <w:pPr>
              <w:pStyle w:val="Heading1"/>
              <w:rPr>
                <w:lang w:val="es-ES_tradnl"/>
              </w:rPr>
            </w:pPr>
            <w:r w:rsidRPr="0058381F">
              <w:rPr>
                <w:lang w:val="es-ES_tradnl"/>
              </w:rPr>
              <w:t>Cas</w:t>
            </w:r>
            <w:r w:rsidR="004D1BA2">
              <w:rPr>
                <w:lang w:val="es-ES_tradnl"/>
              </w:rPr>
              <w:t>o</w:t>
            </w:r>
            <w:r w:rsidRPr="0058381F">
              <w:rPr>
                <w:lang w:val="es-ES_tradnl"/>
              </w:rPr>
              <w:t xml:space="preserve"> #2: Bond </w:t>
            </w:r>
            <w:r w:rsidR="004D1BA2">
              <w:rPr>
                <w:lang w:val="es-ES_tradnl"/>
              </w:rPr>
              <w:t>contra</w:t>
            </w:r>
            <w:r w:rsidRPr="0058381F">
              <w:rPr>
                <w:lang w:val="es-ES_tradnl"/>
              </w:rPr>
              <w:t xml:space="preserve"> Floyd</w:t>
            </w:r>
          </w:p>
          <w:p w14:paraId="01964E1B" w14:textId="1B6E5F40" w:rsidR="00D64AD1" w:rsidRPr="0058381F" w:rsidRDefault="004D1BA2" w:rsidP="00D64AD1">
            <w:pPr>
              <w:pStyle w:val="Heading1"/>
              <w:rPr>
                <w:b w:val="0"/>
                <w:color w:val="000000"/>
                <w:lang w:val="es-ES_tradnl"/>
              </w:rPr>
            </w:pPr>
            <w:r>
              <w:rPr>
                <w:lang w:val="es-ES_tradnl"/>
              </w:rPr>
              <w:t>Defendido</w:t>
            </w:r>
            <w:r w:rsidR="00D64AD1" w:rsidRPr="0058381F">
              <w:rPr>
                <w:lang w:val="es-ES_tradnl"/>
              </w:rPr>
              <w:t xml:space="preserve">: </w:t>
            </w:r>
            <w:r w:rsidR="00D64AD1" w:rsidRPr="0058381F">
              <w:rPr>
                <w:b w:val="0"/>
                <w:color w:val="000000"/>
                <w:lang w:val="es-ES_tradnl"/>
              </w:rPr>
              <w:t>10</w:t>
            </w:r>
            <w:r>
              <w:rPr>
                <w:b w:val="0"/>
                <w:color w:val="000000"/>
                <w:lang w:val="es-ES_tradnl"/>
              </w:rPr>
              <w:t xml:space="preserve"> de noviembre</w:t>
            </w:r>
            <w:r w:rsidR="00D64AD1" w:rsidRPr="0058381F">
              <w:rPr>
                <w:b w:val="0"/>
                <w:color w:val="000000"/>
                <w:lang w:val="es-ES_tradnl"/>
              </w:rPr>
              <w:t>, 1966</w:t>
            </w:r>
          </w:p>
          <w:p w14:paraId="7E3F02C6" w14:textId="17F7D008" w:rsidR="00D64AD1" w:rsidRPr="0058381F" w:rsidRDefault="00D64AD1" w:rsidP="00D64AD1">
            <w:pPr>
              <w:pStyle w:val="Heading1"/>
              <w:rPr>
                <w:b w:val="0"/>
                <w:color w:val="000000"/>
                <w:lang w:val="es-ES_tradnl"/>
              </w:rPr>
            </w:pPr>
            <w:r w:rsidRPr="0058381F">
              <w:rPr>
                <w:lang w:val="es-ES_tradnl"/>
              </w:rPr>
              <w:t>Decid</w:t>
            </w:r>
            <w:r w:rsidR="00206150">
              <w:rPr>
                <w:lang w:val="es-ES_tradnl"/>
              </w:rPr>
              <w:t>i</w:t>
            </w:r>
            <w:r w:rsidRPr="0058381F">
              <w:rPr>
                <w:lang w:val="es-ES_tradnl"/>
              </w:rPr>
              <w:t>d</w:t>
            </w:r>
            <w:r w:rsidR="00206150">
              <w:rPr>
                <w:lang w:val="es-ES_tradnl"/>
              </w:rPr>
              <w:t>o</w:t>
            </w:r>
            <w:r w:rsidRPr="0058381F">
              <w:rPr>
                <w:lang w:val="es-ES_tradnl"/>
              </w:rPr>
              <w:t xml:space="preserve">: </w:t>
            </w:r>
            <w:r w:rsidRPr="0058381F">
              <w:rPr>
                <w:b w:val="0"/>
                <w:color w:val="000000"/>
                <w:lang w:val="es-ES_tradnl"/>
              </w:rPr>
              <w:t>5</w:t>
            </w:r>
            <w:r w:rsidR="00C143A4">
              <w:rPr>
                <w:b w:val="0"/>
                <w:color w:val="000000"/>
                <w:lang w:val="es-ES_tradnl"/>
              </w:rPr>
              <w:t xml:space="preserve"> de diciembre</w:t>
            </w:r>
            <w:r w:rsidRPr="0058381F">
              <w:rPr>
                <w:b w:val="0"/>
                <w:color w:val="000000"/>
                <w:lang w:val="es-ES_tradnl"/>
              </w:rPr>
              <w:t>, 1966</w:t>
            </w:r>
          </w:p>
          <w:p w14:paraId="525A6323" w14:textId="187BE798" w:rsidR="00D64AD1" w:rsidRPr="0058381F" w:rsidRDefault="00977A02" w:rsidP="00D64AD1">
            <w:pPr>
              <w:pStyle w:val="Heading1"/>
              <w:rPr>
                <w:lang w:val="es-ES_tradnl"/>
              </w:rPr>
            </w:pPr>
            <w:r>
              <w:rPr>
                <w:lang w:val="es-ES_tradnl"/>
              </w:rPr>
              <w:t>Los Hechos</w:t>
            </w:r>
            <w:r w:rsidR="00D64AD1" w:rsidRPr="0058381F">
              <w:rPr>
                <w:lang w:val="es-ES_tradnl"/>
              </w:rPr>
              <w:t>:</w:t>
            </w:r>
          </w:p>
          <w:p w14:paraId="72B0DFCF" w14:textId="77777777" w:rsidR="00977A02" w:rsidRPr="00993F76" w:rsidRDefault="00977A02" w:rsidP="00977A02">
            <w:pPr>
              <w:rPr>
                <w:lang w:val="es-ES_tradnl"/>
              </w:rPr>
            </w:pPr>
            <w:proofErr w:type="spellStart"/>
            <w:r w:rsidRPr="00993F76">
              <w:rPr>
                <w:lang w:val="es-ES_tradnl"/>
              </w:rPr>
              <w:t>Julian</w:t>
            </w:r>
            <w:proofErr w:type="spellEnd"/>
            <w:r w:rsidRPr="00993F76">
              <w:rPr>
                <w:lang w:val="es-ES_tradnl"/>
              </w:rPr>
              <w:t xml:space="preserve"> Bond </w:t>
            </w:r>
            <w:r>
              <w:rPr>
                <w:lang w:val="es-ES_tradnl"/>
              </w:rPr>
              <w:t>respaldó un comunicado de prensa del</w:t>
            </w:r>
            <w:r w:rsidRPr="00993F76">
              <w:rPr>
                <w:lang w:val="es-ES_tradnl"/>
              </w:rPr>
              <w:t xml:space="preserve"> </w:t>
            </w:r>
            <w:r>
              <w:rPr>
                <w:lang w:val="es-ES_tradnl"/>
              </w:rPr>
              <w:t>Comité Coordinador Estudiantil No Violento (</w:t>
            </w:r>
            <w:proofErr w:type="spellStart"/>
            <w:r w:rsidRPr="00993F76">
              <w:rPr>
                <w:lang w:val="es-ES_tradnl"/>
              </w:rPr>
              <w:t>Student</w:t>
            </w:r>
            <w:proofErr w:type="spellEnd"/>
            <w:r w:rsidRPr="00993F76">
              <w:rPr>
                <w:lang w:val="es-ES_tradnl"/>
              </w:rPr>
              <w:t xml:space="preserve"> </w:t>
            </w:r>
            <w:proofErr w:type="spellStart"/>
            <w:r w:rsidRPr="00993F76">
              <w:rPr>
                <w:lang w:val="es-ES_tradnl"/>
              </w:rPr>
              <w:t>Nonviolent</w:t>
            </w:r>
            <w:proofErr w:type="spellEnd"/>
            <w:r w:rsidRPr="00993F76">
              <w:rPr>
                <w:lang w:val="es-ES_tradnl"/>
              </w:rPr>
              <w:t xml:space="preserve"> </w:t>
            </w:r>
            <w:proofErr w:type="spellStart"/>
            <w:r w:rsidRPr="00993F76">
              <w:rPr>
                <w:lang w:val="es-ES_tradnl"/>
              </w:rPr>
              <w:t>Coordinating</w:t>
            </w:r>
            <w:proofErr w:type="spellEnd"/>
            <w:r w:rsidRPr="00993F76">
              <w:rPr>
                <w:lang w:val="es-ES_tradnl"/>
              </w:rPr>
              <w:t xml:space="preserve"> </w:t>
            </w:r>
            <w:proofErr w:type="spellStart"/>
            <w:r w:rsidRPr="00993F76">
              <w:rPr>
                <w:lang w:val="es-ES_tradnl"/>
              </w:rPr>
              <w:t>Committee</w:t>
            </w:r>
            <w:proofErr w:type="spellEnd"/>
            <w:r w:rsidRPr="00993F76">
              <w:rPr>
                <w:lang w:val="es-ES_tradnl"/>
              </w:rPr>
              <w:t xml:space="preserve"> </w:t>
            </w:r>
            <w:r>
              <w:rPr>
                <w:lang w:val="es-ES_tradnl"/>
              </w:rPr>
              <w:t xml:space="preserve">o </w:t>
            </w:r>
            <w:r w:rsidRPr="00993F76">
              <w:rPr>
                <w:lang w:val="es-ES_tradnl"/>
              </w:rPr>
              <w:t>SNCC</w:t>
            </w:r>
            <w:r>
              <w:rPr>
                <w:lang w:val="es-ES_tradnl"/>
              </w:rPr>
              <w:t xml:space="preserve"> en inglés</w:t>
            </w:r>
            <w:r w:rsidRPr="00993F76">
              <w:rPr>
                <w:lang w:val="es-ES_tradnl"/>
              </w:rPr>
              <w:t xml:space="preserve">), </w:t>
            </w:r>
            <w:r>
              <w:rPr>
                <w:lang w:val="es-ES_tradnl"/>
              </w:rPr>
              <w:t xml:space="preserve">un grupo de defensa de los derechos civiles, en el que criticaba la participación de Estados Unidos en la guerra de Vietnam y la ley de reclutamiento. Recientemente había sido elegido miembro de la Cámara de Representantes de </w:t>
            </w:r>
            <w:r w:rsidRPr="00993F76">
              <w:rPr>
                <w:lang w:val="es-ES_tradnl"/>
              </w:rPr>
              <w:t>Georgia</w:t>
            </w:r>
            <w:r>
              <w:rPr>
                <w:lang w:val="es-ES_tradnl"/>
              </w:rPr>
              <w:t xml:space="preserve"> y se le denegó el privilegio de jurar su cargo debido a su declaración pública</w:t>
            </w:r>
            <w:r w:rsidRPr="00993F76">
              <w:rPr>
                <w:lang w:val="es-ES_tradnl"/>
              </w:rPr>
              <w:t>.</w:t>
            </w:r>
          </w:p>
          <w:p w14:paraId="6050D7E5" w14:textId="272B092F" w:rsidR="00D64AD1" w:rsidRPr="0058381F" w:rsidRDefault="00977A02" w:rsidP="00D64AD1">
            <w:pPr>
              <w:pStyle w:val="Heading1"/>
              <w:rPr>
                <w:lang w:val="es-ES_tradnl"/>
              </w:rPr>
            </w:pPr>
            <w:r>
              <w:rPr>
                <w:lang w:val="es-ES_tradnl"/>
              </w:rPr>
              <w:t>Cuestión</w:t>
            </w:r>
            <w:r w:rsidR="00D64AD1" w:rsidRPr="0058381F">
              <w:rPr>
                <w:lang w:val="es-ES_tradnl"/>
              </w:rPr>
              <w:t xml:space="preserve">: </w:t>
            </w:r>
          </w:p>
          <w:p w14:paraId="18775F36" w14:textId="5E8632A3" w:rsidR="00D64AD1" w:rsidRPr="0058381F" w:rsidRDefault="00CD691C" w:rsidP="00D64AD1">
            <w:pPr>
              <w:rPr>
                <w:lang w:val="es-ES_tradnl"/>
              </w:rPr>
            </w:pPr>
            <w:r w:rsidRPr="00A614FE">
              <w:rPr>
                <w:lang w:val="es-ES_tradnl"/>
              </w:rPr>
              <w:t>¿Infringen los derechos de libertad de expresión de los legisladores su juramento de apoyar la Constitución?</w:t>
            </w:r>
          </w:p>
          <w:p w14:paraId="368C4720" w14:textId="60CD31C8" w:rsidR="00D64AD1" w:rsidRPr="0058381F" w:rsidRDefault="00D64AD1" w:rsidP="00D64AD1">
            <w:pPr>
              <w:pStyle w:val="Heading1"/>
              <w:rPr>
                <w:lang w:val="es-ES_tradnl"/>
              </w:rPr>
            </w:pPr>
            <w:r w:rsidRPr="0058381F">
              <w:rPr>
                <w:lang w:val="es-ES_tradnl"/>
              </w:rPr>
              <w:t>Conclusi</w:t>
            </w:r>
            <w:r w:rsidR="00376566">
              <w:rPr>
                <w:lang w:val="es-ES_tradnl"/>
              </w:rPr>
              <w:t>ó</w:t>
            </w:r>
            <w:r w:rsidRPr="0058381F">
              <w:rPr>
                <w:lang w:val="es-ES_tradnl"/>
              </w:rPr>
              <w:t>n:</w:t>
            </w:r>
          </w:p>
          <w:p w14:paraId="6614E29F" w14:textId="0A31FA1F" w:rsidR="00D64AD1" w:rsidRPr="0058381F" w:rsidRDefault="00A87049" w:rsidP="00A87049">
            <w:pPr>
              <w:pStyle w:val="Heading1"/>
              <w:spacing w:before="0"/>
              <w:rPr>
                <w:b w:val="0"/>
                <w:bCs/>
                <w:lang w:val="es-ES_tradnl"/>
              </w:rPr>
            </w:pPr>
            <w:r>
              <w:rPr>
                <w:b w:val="0"/>
                <w:bCs/>
                <w:color w:val="auto"/>
                <w:lang w:val="es-ES_tradnl"/>
              </w:rPr>
              <w:t>La Corte Suprema falló a favor de</w:t>
            </w:r>
            <w:r w:rsidR="00D64AD1" w:rsidRPr="0058381F">
              <w:rPr>
                <w:b w:val="0"/>
                <w:bCs/>
                <w:color w:val="auto"/>
                <w:lang w:val="es-ES_tradnl"/>
              </w:rPr>
              <w:t xml:space="preserve"> Bond. </w:t>
            </w:r>
            <w:r>
              <w:rPr>
                <w:b w:val="0"/>
                <w:bCs/>
                <w:color w:val="auto"/>
                <w:lang w:val="es-ES_tradnl"/>
              </w:rPr>
              <w:t>La Corte dictaminó que el juramento de los legisladores no limita su capacidad para debatir opiniones políticas ni la libertad de expresar sus puntos de vista sobre esas cuestiones</w:t>
            </w:r>
            <w:r w:rsidR="00D64AD1" w:rsidRPr="0058381F">
              <w:rPr>
                <w:b w:val="0"/>
                <w:bCs/>
                <w:color w:val="auto"/>
                <w:lang w:val="es-ES_tradnl"/>
              </w:rPr>
              <w:t>.</w:t>
            </w:r>
          </w:p>
        </w:tc>
      </w:tr>
    </w:tbl>
    <w:p w14:paraId="691FB112" w14:textId="77777777" w:rsidR="00D64AD1" w:rsidRPr="0058381F" w:rsidRDefault="00D64AD1" w:rsidP="00D64AD1">
      <w:pPr>
        <w:rPr>
          <w:lang w:val="es-ES_tradnl"/>
        </w:rPr>
      </w:pPr>
    </w:p>
    <w:tbl>
      <w:tblPr>
        <w:tblStyle w:val="a"/>
        <w:tblW w:w="934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340"/>
      </w:tblGrid>
      <w:tr w:rsidR="00A921C9" w:rsidRPr="0058381F" w14:paraId="0B0A015F" w14:textId="77777777">
        <w:trPr>
          <w:trHeight w:val="470"/>
        </w:trPr>
        <w:tc>
          <w:tcPr>
            <w:tcW w:w="9340" w:type="dxa"/>
          </w:tcPr>
          <w:p w14:paraId="48617B52" w14:textId="773C7481" w:rsidR="00A921C9" w:rsidRPr="0058381F" w:rsidRDefault="00000000">
            <w:pPr>
              <w:pStyle w:val="Heading1"/>
              <w:spacing w:before="0"/>
              <w:rPr>
                <w:lang w:val="es-ES_tradnl"/>
              </w:rPr>
            </w:pPr>
            <w:bookmarkStart w:id="0" w:name="_qmx3flox1exe" w:colFirst="0" w:colLast="0"/>
            <w:bookmarkStart w:id="1" w:name="_hkwp8dqztd6l" w:colFirst="0" w:colLast="0"/>
            <w:bookmarkEnd w:id="0"/>
            <w:bookmarkEnd w:id="1"/>
            <w:r w:rsidRPr="0058381F">
              <w:rPr>
                <w:lang w:val="es-ES_tradnl"/>
              </w:rPr>
              <w:lastRenderedPageBreak/>
              <w:t xml:space="preserve">Case #3: Shaffer </w:t>
            </w:r>
            <w:r w:rsidR="004D1BA2">
              <w:rPr>
                <w:lang w:val="es-ES_tradnl"/>
              </w:rPr>
              <w:t>contra</w:t>
            </w:r>
            <w:r w:rsidRPr="0058381F">
              <w:rPr>
                <w:lang w:val="es-ES_tradnl"/>
              </w:rPr>
              <w:t xml:space="preserve"> </w:t>
            </w:r>
            <w:r w:rsidR="004D1BA2">
              <w:rPr>
                <w:lang w:val="es-ES_tradnl"/>
              </w:rPr>
              <w:t>Estados Unidos</w:t>
            </w:r>
          </w:p>
          <w:p w14:paraId="5EC4E00A" w14:textId="4F5A4768" w:rsidR="00A921C9" w:rsidRPr="0058381F" w:rsidRDefault="004D1BA2">
            <w:pPr>
              <w:pStyle w:val="Heading1"/>
              <w:rPr>
                <w:b w:val="0"/>
                <w:color w:val="000000"/>
                <w:lang w:val="es-ES_tradnl"/>
              </w:rPr>
            </w:pPr>
            <w:bookmarkStart w:id="2" w:name="_rnvxokrxye9z" w:colFirst="0" w:colLast="0"/>
            <w:bookmarkEnd w:id="2"/>
            <w:r>
              <w:rPr>
                <w:lang w:val="es-ES_tradnl"/>
              </w:rPr>
              <w:t>Defendido</w:t>
            </w:r>
            <w:r w:rsidRPr="0058381F">
              <w:rPr>
                <w:lang w:val="es-ES_tradnl"/>
              </w:rPr>
              <w:t xml:space="preserve">: </w:t>
            </w:r>
            <w:r w:rsidRPr="0058381F">
              <w:rPr>
                <w:b w:val="0"/>
                <w:color w:val="000000"/>
                <w:lang w:val="es-ES_tradnl"/>
              </w:rPr>
              <w:t>21-22</w:t>
            </w:r>
            <w:r>
              <w:rPr>
                <w:b w:val="0"/>
                <w:color w:val="000000"/>
                <w:lang w:val="es-ES_tradnl"/>
              </w:rPr>
              <w:t xml:space="preserve"> de octubre</w:t>
            </w:r>
            <w:r w:rsidRPr="0058381F">
              <w:rPr>
                <w:b w:val="0"/>
                <w:color w:val="000000"/>
                <w:lang w:val="es-ES_tradnl"/>
              </w:rPr>
              <w:t>, 1919</w:t>
            </w:r>
          </w:p>
          <w:p w14:paraId="41D3C503" w14:textId="128A428B" w:rsidR="00A921C9" w:rsidRPr="0058381F" w:rsidRDefault="00000000">
            <w:pPr>
              <w:pStyle w:val="Heading1"/>
              <w:rPr>
                <w:lang w:val="es-ES_tradnl"/>
              </w:rPr>
            </w:pPr>
            <w:bookmarkStart w:id="3" w:name="_3jauluiiykjo" w:colFirst="0" w:colLast="0"/>
            <w:bookmarkEnd w:id="3"/>
            <w:r w:rsidRPr="0058381F">
              <w:rPr>
                <w:lang w:val="es-ES_tradnl"/>
              </w:rPr>
              <w:t>Decid</w:t>
            </w:r>
            <w:r w:rsidR="00206150">
              <w:rPr>
                <w:lang w:val="es-ES_tradnl"/>
              </w:rPr>
              <w:t>i</w:t>
            </w:r>
            <w:r w:rsidRPr="0058381F">
              <w:rPr>
                <w:lang w:val="es-ES_tradnl"/>
              </w:rPr>
              <w:t>d</w:t>
            </w:r>
            <w:r w:rsidR="00206150">
              <w:rPr>
                <w:lang w:val="es-ES_tradnl"/>
              </w:rPr>
              <w:t>o</w:t>
            </w:r>
            <w:r w:rsidRPr="0058381F">
              <w:rPr>
                <w:lang w:val="es-ES_tradnl"/>
              </w:rPr>
              <w:t xml:space="preserve">: </w:t>
            </w:r>
            <w:r w:rsidRPr="0058381F">
              <w:rPr>
                <w:b w:val="0"/>
                <w:color w:val="000000"/>
                <w:lang w:val="es-ES_tradnl"/>
              </w:rPr>
              <w:t>10</w:t>
            </w:r>
            <w:r w:rsidR="00977A02">
              <w:rPr>
                <w:b w:val="0"/>
                <w:color w:val="000000"/>
                <w:lang w:val="es-ES_tradnl"/>
              </w:rPr>
              <w:t xml:space="preserve"> de noviembre</w:t>
            </w:r>
            <w:r w:rsidRPr="0058381F">
              <w:rPr>
                <w:b w:val="0"/>
                <w:color w:val="000000"/>
                <w:lang w:val="es-ES_tradnl"/>
              </w:rPr>
              <w:t>, 1919</w:t>
            </w:r>
          </w:p>
          <w:p w14:paraId="7439D4B6" w14:textId="1D5FBCD2" w:rsidR="00A921C9" w:rsidRPr="0058381F" w:rsidRDefault="00977A02">
            <w:pPr>
              <w:pStyle w:val="Heading1"/>
              <w:rPr>
                <w:lang w:val="es-ES_tradnl"/>
              </w:rPr>
            </w:pPr>
            <w:bookmarkStart w:id="4" w:name="_ngyc7emnw8a3" w:colFirst="0" w:colLast="0"/>
            <w:bookmarkEnd w:id="4"/>
            <w:r>
              <w:rPr>
                <w:lang w:val="es-ES_tradnl"/>
              </w:rPr>
              <w:t>Los Hechos</w:t>
            </w:r>
            <w:r w:rsidRPr="0058381F">
              <w:rPr>
                <w:lang w:val="es-ES_tradnl"/>
              </w:rPr>
              <w:t>:</w:t>
            </w:r>
          </w:p>
          <w:p w14:paraId="69A2350A" w14:textId="4C6E55BF" w:rsidR="00A921C9" w:rsidRPr="0058381F" w:rsidRDefault="00C143A4" w:rsidP="00376566">
            <w:pPr>
              <w:pStyle w:val="Heading1"/>
              <w:spacing w:before="0"/>
              <w:rPr>
                <w:b w:val="0"/>
                <w:color w:val="000000"/>
                <w:lang w:val="es-ES_tradnl"/>
              </w:rPr>
            </w:pPr>
            <w:bookmarkStart w:id="5" w:name="_b77uc5t4ayy" w:colFirst="0" w:colLast="0"/>
            <w:bookmarkEnd w:id="5"/>
            <w:r>
              <w:rPr>
                <w:b w:val="0"/>
                <w:color w:val="000000"/>
                <w:lang w:val="es-ES_tradnl"/>
              </w:rPr>
              <w:t>El S</w:t>
            </w:r>
            <w:r w:rsidRPr="00993F76">
              <w:rPr>
                <w:b w:val="0"/>
                <w:color w:val="000000"/>
                <w:lang w:val="es-ES_tradnl"/>
              </w:rPr>
              <w:t xml:space="preserve">r. Shaffer, </w:t>
            </w:r>
            <w:r>
              <w:rPr>
                <w:b w:val="0"/>
                <w:color w:val="000000"/>
                <w:lang w:val="es-ES_tradnl"/>
              </w:rPr>
              <w:t>con la ayuda de su esposa</w:t>
            </w:r>
            <w:r w:rsidRPr="00993F76">
              <w:rPr>
                <w:b w:val="0"/>
                <w:color w:val="000000"/>
                <w:lang w:val="es-ES_tradnl"/>
              </w:rPr>
              <w:t xml:space="preserve">, </w:t>
            </w:r>
            <w:r>
              <w:rPr>
                <w:b w:val="0"/>
                <w:color w:val="000000"/>
                <w:lang w:val="es-ES_tradnl"/>
              </w:rPr>
              <w:t>usó el</w:t>
            </w:r>
            <w:r w:rsidRPr="00993F76">
              <w:rPr>
                <w:b w:val="0"/>
                <w:color w:val="000000"/>
                <w:lang w:val="es-ES_tradnl"/>
              </w:rPr>
              <w:t xml:space="preserve"> USPS </w:t>
            </w:r>
            <w:r>
              <w:rPr>
                <w:b w:val="0"/>
                <w:color w:val="000000"/>
                <w:lang w:val="es-ES_tradnl"/>
              </w:rPr>
              <w:t>para enviar por correo un libro titulado</w:t>
            </w:r>
            <w:r w:rsidRPr="00993F76">
              <w:rPr>
                <w:b w:val="0"/>
                <w:color w:val="000000"/>
                <w:lang w:val="es-ES_tradnl"/>
              </w:rPr>
              <w:t xml:space="preserve"> “</w:t>
            </w:r>
            <w:proofErr w:type="spellStart"/>
            <w:r w:rsidRPr="00993F76">
              <w:rPr>
                <w:b w:val="0"/>
                <w:color w:val="000000"/>
                <w:lang w:val="es-ES_tradnl"/>
              </w:rPr>
              <w:t>The</w:t>
            </w:r>
            <w:proofErr w:type="spellEnd"/>
            <w:r w:rsidRPr="00993F76">
              <w:rPr>
                <w:b w:val="0"/>
                <w:color w:val="000000"/>
                <w:lang w:val="es-ES_tradnl"/>
              </w:rPr>
              <w:t xml:space="preserve"> </w:t>
            </w:r>
            <w:proofErr w:type="spellStart"/>
            <w:r w:rsidRPr="00993F76">
              <w:rPr>
                <w:b w:val="0"/>
                <w:color w:val="000000"/>
                <w:lang w:val="es-ES_tradnl"/>
              </w:rPr>
              <w:t>Finished</w:t>
            </w:r>
            <w:proofErr w:type="spellEnd"/>
            <w:r w:rsidRPr="00993F76">
              <w:rPr>
                <w:b w:val="0"/>
                <w:color w:val="000000"/>
                <w:lang w:val="es-ES_tradnl"/>
              </w:rPr>
              <w:t xml:space="preserve"> </w:t>
            </w:r>
            <w:proofErr w:type="spellStart"/>
            <w:r w:rsidRPr="00993F76">
              <w:rPr>
                <w:b w:val="0"/>
                <w:color w:val="000000"/>
                <w:lang w:val="es-ES_tradnl"/>
              </w:rPr>
              <w:t>Mystery</w:t>
            </w:r>
            <w:proofErr w:type="spellEnd"/>
            <w:r w:rsidRPr="00993F76">
              <w:rPr>
                <w:b w:val="0"/>
                <w:color w:val="000000"/>
                <w:lang w:val="es-ES_tradnl"/>
              </w:rPr>
              <w:t xml:space="preserve">.” </w:t>
            </w:r>
            <w:r>
              <w:rPr>
                <w:b w:val="0"/>
                <w:color w:val="000000"/>
                <w:lang w:val="es-ES_tradnl"/>
              </w:rPr>
              <w:t xml:space="preserve">En este libro, criticaba el </w:t>
            </w:r>
            <w:r w:rsidRPr="00993F76">
              <w:rPr>
                <w:b w:val="0"/>
                <w:color w:val="000000"/>
                <w:lang w:val="es-ES_tradnl"/>
              </w:rPr>
              <w:t>patriotism</w:t>
            </w:r>
            <w:r>
              <w:rPr>
                <w:b w:val="0"/>
                <w:color w:val="000000"/>
                <w:lang w:val="es-ES_tradnl"/>
              </w:rPr>
              <w:t>o y la guerra con Alemania</w:t>
            </w:r>
            <w:r w:rsidRPr="00993F76">
              <w:rPr>
                <w:b w:val="0"/>
                <w:color w:val="000000"/>
                <w:lang w:val="es-ES_tradnl"/>
              </w:rPr>
              <w:t xml:space="preserve">. </w:t>
            </w:r>
            <w:r>
              <w:rPr>
                <w:b w:val="0"/>
                <w:color w:val="000000"/>
                <w:lang w:val="es-ES_tradnl"/>
              </w:rPr>
              <w:t>Se refería al engaño del</w:t>
            </w:r>
            <w:r w:rsidRPr="00993F76">
              <w:rPr>
                <w:b w:val="0"/>
                <w:color w:val="000000"/>
                <w:lang w:val="es-ES_tradnl"/>
              </w:rPr>
              <w:t xml:space="preserve"> patriotism</w:t>
            </w:r>
            <w:r>
              <w:rPr>
                <w:b w:val="0"/>
                <w:color w:val="000000"/>
                <w:lang w:val="es-ES_tradnl"/>
              </w:rPr>
              <w:t>o como asesinato y afirmaba que la guerra era un crimen</w:t>
            </w:r>
            <w:r w:rsidRPr="00993F76">
              <w:rPr>
                <w:b w:val="0"/>
                <w:color w:val="000000"/>
                <w:lang w:val="es-ES_tradnl"/>
              </w:rPr>
              <w:t>.</w:t>
            </w:r>
          </w:p>
          <w:p w14:paraId="0ED9A245" w14:textId="5985AC73" w:rsidR="00A921C9" w:rsidRPr="0058381F" w:rsidRDefault="00DA69CA">
            <w:pPr>
              <w:pStyle w:val="Heading1"/>
              <w:rPr>
                <w:lang w:val="es-ES_tradnl"/>
              </w:rPr>
            </w:pPr>
            <w:bookmarkStart w:id="6" w:name="_s9dvq28jmh7l" w:colFirst="0" w:colLast="0"/>
            <w:bookmarkEnd w:id="6"/>
            <w:r>
              <w:rPr>
                <w:lang w:val="es-ES_tradnl"/>
              </w:rPr>
              <w:t>Cuestión</w:t>
            </w:r>
            <w:r w:rsidRPr="0058381F">
              <w:rPr>
                <w:lang w:val="es-ES_tradnl"/>
              </w:rPr>
              <w:t>:</w:t>
            </w:r>
          </w:p>
          <w:p w14:paraId="686750F9" w14:textId="77777777" w:rsidR="00DA69CA" w:rsidRPr="00993F76" w:rsidRDefault="00DA69CA" w:rsidP="00DA69CA">
            <w:pPr>
              <w:rPr>
                <w:lang w:val="es-ES_tradnl"/>
              </w:rPr>
            </w:pPr>
            <w:r>
              <w:rPr>
                <w:lang w:val="es-ES_tradnl"/>
              </w:rPr>
              <w:t>¿Se enviaron los libros por correo como material</w:t>
            </w:r>
            <w:r w:rsidRPr="00993F76">
              <w:rPr>
                <w:lang w:val="es-ES_tradnl"/>
              </w:rPr>
              <w:t xml:space="preserve"> “no-</w:t>
            </w:r>
            <w:r>
              <w:rPr>
                <w:lang w:val="es-ES_tradnl"/>
              </w:rPr>
              <w:t>enviable</w:t>
            </w:r>
            <w:r w:rsidRPr="00993F76">
              <w:rPr>
                <w:lang w:val="es-ES_tradnl"/>
              </w:rPr>
              <w:t xml:space="preserve">” </w:t>
            </w:r>
            <w:r>
              <w:rPr>
                <w:lang w:val="es-ES_tradnl"/>
              </w:rPr>
              <w:t xml:space="preserve">bajo la Ley de </w:t>
            </w:r>
            <w:r w:rsidRPr="00993F76">
              <w:rPr>
                <w:lang w:val="es-ES_tradnl"/>
              </w:rPr>
              <w:t>Espiona</w:t>
            </w:r>
            <w:r>
              <w:rPr>
                <w:lang w:val="es-ES_tradnl"/>
              </w:rPr>
              <w:t>j</w:t>
            </w:r>
            <w:r w:rsidRPr="00993F76">
              <w:rPr>
                <w:lang w:val="es-ES_tradnl"/>
              </w:rPr>
              <w:t xml:space="preserve">e, </w:t>
            </w:r>
            <w:r>
              <w:rPr>
                <w:lang w:val="es-ES_tradnl"/>
              </w:rPr>
              <w:t>que considera delito hablar o publicar con intención de obstruir a Estados Unidos en una guerra</w:t>
            </w:r>
            <w:r w:rsidRPr="00993F76">
              <w:rPr>
                <w:lang w:val="es-ES_tradnl"/>
              </w:rPr>
              <w:t>?</w:t>
            </w:r>
          </w:p>
          <w:p w14:paraId="0F9C2F83" w14:textId="5272FA6E" w:rsidR="00A921C9" w:rsidRPr="0058381F" w:rsidRDefault="00DA69CA" w:rsidP="00DA69CA">
            <w:pPr>
              <w:rPr>
                <w:lang w:val="es-ES_tradnl"/>
              </w:rPr>
            </w:pPr>
            <w:r>
              <w:rPr>
                <w:lang w:val="es-ES_tradnl"/>
              </w:rPr>
              <w:t>¿Había suficiente evidencia para demostrar que el demandante cometió el acto voluntaria e intencionadamente</w:t>
            </w:r>
            <w:r w:rsidRPr="00993F76">
              <w:rPr>
                <w:lang w:val="es-ES_tradnl"/>
              </w:rPr>
              <w:t>?</w:t>
            </w:r>
          </w:p>
          <w:p w14:paraId="75D75D0C" w14:textId="6D5282E1" w:rsidR="00A921C9" w:rsidRPr="0058381F" w:rsidRDefault="00000000">
            <w:pPr>
              <w:pStyle w:val="Heading1"/>
              <w:rPr>
                <w:lang w:val="es-ES_tradnl"/>
              </w:rPr>
            </w:pPr>
            <w:r w:rsidRPr="0058381F">
              <w:rPr>
                <w:lang w:val="es-ES_tradnl"/>
              </w:rPr>
              <w:t>Conclusi</w:t>
            </w:r>
            <w:r w:rsidR="00DA69CA">
              <w:rPr>
                <w:lang w:val="es-ES_tradnl"/>
              </w:rPr>
              <w:t>ó</w:t>
            </w:r>
            <w:r w:rsidRPr="0058381F">
              <w:rPr>
                <w:lang w:val="es-ES_tradnl"/>
              </w:rPr>
              <w:t>n:</w:t>
            </w:r>
          </w:p>
          <w:p w14:paraId="621998DB" w14:textId="06329E7D" w:rsidR="00A921C9" w:rsidRPr="0058381F" w:rsidRDefault="00206150">
            <w:pPr>
              <w:rPr>
                <w:sz w:val="18"/>
                <w:szCs w:val="18"/>
                <w:lang w:val="es-ES_tradnl"/>
              </w:rPr>
            </w:pPr>
            <w:r>
              <w:rPr>
                <w:lang w:val="es-ES_tradnl"/>
              </w:rPr>
              <w:t>El S</w:t>
            </w:r>
            <w:r w:rsidRPr="0058381F">
              <w:rPr>
                <w:lang w:val="es-ES_tradnl"/>
              </w:rPr>
              <w:t xml:space="preserve">r. Shaffer </w:t>
            </w:r>
            <w:r>
              <w:rPr>
                <w:lang w:val="es-ES_tradnl"/>
              </w:rPr>
              <w:t xml:space="preserve">fue condenado por violar la Ley de Espionaje de </w:t>
            </w:r>
            <w:r w:rsidRPr="0058381F">
              <w:rPr>
                <w:lang w:val="es-ES_tradnl"/>
              </w:rPr>
              <w:t xml:space="preserve">1917 </w:t>
            </w:r>
            <w:r>
              <w:rPr>
                <w:lang w:val="es-ES_tradnl"/>
              </w:rPr>
              <w:t>al cometer actos de traición y deslealtad</w:t>
            </w:r>
            <w:r w:rsidRPr="0058381F">
              <w:rPr>
                <w:lang w:val="es-ES_tradnl"/>
              </w:rPr>
              <w:t xml:space="preserve">. </w:t>
            </w:r>
            <w:r>
              <w:rPr>
                <w:lang w:val="es-ES_tradnl"/>
              </w:rPr>
              <w:t>La escritura, publicación y distribución del libro puede haber provocado la obstrucción del reclutamiento al atacar las causas justas de la guerra</w:t>
            </w:r>
            <w:r w:rsidRPr="0058381F">
              <w:rPr>
                <w:lang w:val="es-ES_tradnl"/>
              </w:rPr>
              <w:t>.</w:t>
            </w:r>
          </w:p>
        </w:tc>
      </w:tr>
      <w:tr w:rsidR="00A921C9" w:rsidRPr="0058381F" w14:paraId="78A2C454" w14:textId="77777777">
        <w:trPr>
          <w:trHeight w:val="470"/>
        </w:trPr>
        <w:tc>
          <w:tcPr>
            <w:tcW w:w="9340" w:type="dxa"/>
          </w:tcPr>
          <w:p w14:paraId="19E35E00" w14:textId="7FB8D941" w:rsidR="00A921C9" w:rsidRPr="0058381F" w:rsidRDefault="00000000">
            <w:pPr>
              <w:pStyle w:val="Heading1"/>
              <w:spacing w:before="0"/>
              <w:rPr>
                <w:lang w:val="es-ES_tradnl"/>
              </w:rPr>
            </w:pPr>
            <w:bookmarkStart w:id="7" w:name="_bo2fhxbis2md" w:colFirst="0" w:colLast="0"/>
            <w:bookmarkEnd w:id="7"/>
            <w:r w:rsidRPr="0058381F">
              <w:rPr>
                <w:lang w:val="es-ES_tradnl"/>
              </w:rPr>
              <w:t xml:space="preserve">Case #4: Yates </w:t>
            </w:r>
            <w:r w:rsidR="00DA69CA">
              <w:rPr>
                <w:lang w:val="es-ES_tradnl"/>
              </w:rPr>
              <w:t>contra Estados Unidos</w:t>
            </w:r>
          </w:p>
          <w:p w14:paraId="4299DA3A" w14:textId="7A13B702" w:rsidR="00A921C9" w:rsidRPr="0058381F" w:rsidRDefault="00DA69CA">
            <w:pPr>
              <w:pStyle w:val="Heading1"/>
              <w:rPr>
                <w:b w:val="0"/>
                <w:color w:val="000000"/>
                <w:lang w:val="es-ES_tradnl"/>
              </w:rPr>
            </w:pPr>
            <w:bookmarkStart w:id="8" w:name="_xh9dwbmlgggs" w:colFirst="0" w:colLast="0"/>
            <w:bookmarkEnd w:id="8"/>
            <w:r>
              <w:rPr>
                <w:lang w:val="es-ES_tradnl"/>
              </w:rPr>
              <w:t>Defendido</w:t>
            </w:r>
            <w:r w:rsidRPr="0058381F">
              <w:rPr>
                <w:lang w:val="es-ES_tradnl"/>
              </w:rPr>
              <w:t xml:space="preserve">: </w:t>
            </w:r>
            <w:r w:rsidRPr="0058381F">
              <w:rPr>
                <w:b w:val="0"/>
                <w:color w:val="000000"/>
                <w:lang w:val="es-ES_tradnl"/>
              </w:rPr>
              <w:t>8-9</w:t>
            </w:r>
            <w:r>
              <w:rPr>
                <w:b w:val="0"/>
                <w:color w:val="000000"/>
                <w:lang w:val="es-ES_tradnl"/>
              </w:rPr>
              <w:t xml:space="preserve"> de octubre</w:t>
            </w:r>
            <w:r w:rsidRPr="0058381F">
              <w:rPr>
                <w:b w:val="0"/>
                <w:color w:val="000000"/>
                <w:lang w:val="es-ES_tradnl"/>
              </w:rPr>
              <w:t>, 1956</w:t>
            </w:r>
          </w:p>
          <w:p w14:paraId="2355ADB3" w14:textId="435FB3CC" w:rsidR="00A921C9" w:rsidRPr="0058381F" w:rsidRDefault="00000000">
            <w:pPr>
              <w:pStyle w:val="Heading1"/>
              <w:rPr>
                <w:lang w:val="es-ES_tradnl"/>
              </w:rPr>
            </w:pPr>
            <w:bookmarkStart w:id="9" w:name="_3mfgh8uti5mi" w:colFirst="0" w:colLast="0"/>
            <w:bookmarkEnd w:id="9"/>
            <w:r w:rsidRPr="0058381F">
              <w:rPr>
                <w:lang w:val="es-ES_tradnl"/>
              </w:rPr>
              <w:t>Decid</w:t>
            </w:r>
            <w:r w:rsidR="008B2954">
              <w:rPr>
                <w:lang w:val="es-ES_tradnl"/>
              </w:rPr>
              <w:t>i</w:t>
            </w:r>
            <w:r w:rsidRPr="0058381F">
              <w:rPr>
                <w:lang w:val="es-ES_tradnl"/>
              </w:rPr>
              <w:t>d</w:t>
            </w:r>
            <w:r w:rsidR="008B2954">
              <w:rPr>
                <w:lang w:val="es-ES_tradnl"/>
              </w:rPr>
              <w:t>o</w:t>
            </w:r>
            <w:r w:rsidRPr="0058381F">
              <w:rPr>
                <w:lang w:val="es-ES_tradnl"/>
              </w:rPr>
              <w:t xml:space="preserve">: </w:t>
            </w:r>
            <w:r w:rsidRPr="0058381F">
              <w:rPr>
                <w:b w:val="0"/>
                <w:color w:val="000000"/>
                <w:lang w:val="es-ES_tradnl"/>
              </w:rPr>
              <w:t>17</w:t>
            </w:r>
            <w:r w:rsidR="00DA69CA">
              <w:rPr>
                <w:b w:val="0"/>
                <w:color w:val="000000"/>
                <w:lang w:val="es-ES_tradnl"/>
              </w:rPr>
              <w:t xml:space="preserve"> de junio</w:t>
            </w:r>
            <w:r w:rsidRPr="0058381F">
              <w:rPr>
                <w:b w:val="0"/>
                <w:color w:val="000000"/>
                <w:lang w:val="es-ES_tradnl"/>
              </w:rPr>
              <w:t>, 1957</w:t>
            </w:r>
          </w:p>
          <w:p w14:paraId="28F58292" w14:textId="77AE1EC4" w:rsidR="00A921C9" w:rsidRPr="0058381F" w:rsidRDefault="00DA69CA">
            <w:pPr>
              <w:pStyle w:val="Heading1"/>
              <w:rPr>
                <w:lang w:val="es-ES_tradnl"/>
              </w:rPr>
            </w:pPr>
            <w:bookmarkStart w:id="10" w:name="_cgbwydfryoxh" w:colFirst="0" w:colLast="0"/>
            <w:bookmarkEnd w:id="10"/>
            <w:r>
              <w:rPr>
                <w:lang w:val="es-ES_tradnl"/>
              </w:rPr>
              <w:t>Los Hechos</w:t>
            </w:r>
            <w:r w:rsidRPr="0058381F">
              <w:rPr>
                <w:lang w:val="es-ES_tradnl"/>
              </w:rPr>
              <w:t>:</w:t>
            </w:r>
          </w:p>
          <w:p w14:paraId="05A40459" w14:textId="77777777" w:rsidR="00DA69CA" w:rsidRPr="00993F76" w:rsidRDefault="00DA69CA" w:rsidP="00DA69CA">
            <w:pPr>
              <w:pStyle w:val="Heading1"/>
              <w:spacing w:before="0"/>
              <w:rPr>
                <w:b w:val="0"/>
                <w:color w:val="000000"/>
                <w:lang w:val="es-ES_tradnl"/>
              </w:rPr>
            </w:pPr>
            <w:bookmarkStart w:id="11" w:name="_4rmnd8yv0zq8" w:colFirst="0" w:colLast="0"/>
            <w:bookmarkEnd w:id="11"/>
            <w:r>
              <w:rPr>
                <w:b w:val="0"/>
                <w:color w:val="000000"/>
                <w:lang w:val="es-ES_tradnl"/>
              </w:rPr>
              <w:t>Catorce dirigentes del Partido Comunista fueron acusados bajo la Ley Smith por defender, enseñar y organizar una sociedad que promovía el derrocamiento del gobierno por la fuerza y la violencia</w:t>
            </w:r>
            <w:r w:rsidRPr="00993F76">
              <w:rPr>
                <w:b w:val="0"/>
                <w:color w:val="000000"/>
                <w:lang w:val="es-ES_tradnl"/>
              </w:rPr>
              <w:t xml:space="preserve">. </w:t>
            </w:r>
          </w:p>
          <w:p w14:paraId="04F75AFE" w14:textId="2645A216" w:rsidR="00A921C9" w:rsidRPr="0058381F" w:rsidRDefault="00DA69CA">
            <w:pPr>
              <w:pStyle w:val="Heading1"/>
              <w:rPr>
                <w:lang w:val="es-ES_tradnl"/>
              </w:rPr>
            </w:pPr>
            <w:bookmarkStart w:id="12" w:name="_72mrf4ouyrm7" w:colFirst="0" w:colLast="0"/>
            <w:bookmarkEnd w:id="12"/>
            <w:r>
              <w:rPr>
                <w:lang w:val="es-ES_tradnl"/>
              </w:rPr>
              <w:t>Cuestión</w:t>
            </w:r>
            <w:r w:rsidRPr="0058381F">
              <w:rPr>
                <w:lang w:val="es-ES_tradnl"/>
              </w:rPr>
              <w:t>:</w:t>
            </w:r>
          </w:p>
          <w:p w14:paraId="206A8017" w14:textId="720A257D" w:rsidR="00A921C9" w:rsidRPr="0058381F" w:rsidRDefault="00DA69CA">
            <w:pPr>
              <w:rPr>
                <w:lang w:val="es-ES_tradnl"/>
              </w:rPr>
            </w:pPr>
            <w:r>
              <w:rPr>
                <w:lang w:val="es-ES_tradnl"/>
              </w:rPr>
              <w:t>¿La Ley Smith viola la Primera Enmienda</w:t>
            </w:r>
            <w:r w:rsidRPr="00993F76">
              <w:rPr>
                <w:lang w:val="es-ES_tradnl"/>
              </w:rPr>
              <w:t>?</w:t>
            </w:r>
          </w:p>
          <w:p w14:paraId="30C0C693" w14:textId="31EE9E3A" w:rsidR="00A921C9" w:rsidRPr="0058381F" w:rsidRDefault="00000000">
            <w:pPr>
              <w:pStyle w:val="Heading1"/>
              <w:rPr>
                <w:lang w:val="es-ES_tradnl"/>
              </w:rPr>
            </w:pPr>
            <w:bookmarkStart w:id="13" w:name="_dgjmw6ucnyso" w:colFirst="0" w:colLast="0"/>
            <w:bookmarkEnd w:id="13"/>
            <w:r w:rsidRPr="0058381F">
              <w:rPr>
                <w:lang w:val="es-ES_tradnl"/>
              </w:rPr>
              <w:t>Conclusi</w:t>
            </w:r>
            <w:r w:rsidR="00DA69CA">
              <w:rPr>
                <w:lang w:val="es-ES_tradnl"/>
              </w:rPr>
              <w:t>ó</w:t>
            </w:r>
            <w:r w:rsidRPr="0058381F">
              <w:rPr>
                <w:lang w:val="es-ES_tradnl"/>
              </w:rPr>
              <w:t>n:</w:t>
            </w:r>
          </w:p>
          <w:p w14:paraId="6E8ED588" w14:textId="48F1070D" w:rsidR="00A921C9" w:rsidRPr="0058381F" w:rsidRDefault="006247A2">
            <w:pPr>
              <w:rPr>
                <w:lang w:val="es-ES_tradnl"/>
              </w:rPr>
            </w:pPr>
            <w:r>
              <w:rPr>
                <w:lang w:val="es-ES_tradnl"/>
              </w:rPr>
              <w:t xml:space="preserve">La Corto falló a favor de </w:t>
            </w:r>
            <w:r w:rsidRPr="0058381F">
              <w:rPr>
                <w:lang w:val="es-ES_tradnl"/>
              </w:rPr>
              <w:t xml:space="preserve">Yates. </w:t>
            </w:r>
            <w:r>
              <w:rPr>
                <w:lang w:val="es-ES_tradnl"/>
              </w:rPr>
              <w:t>La Ley</w:t>
            </w:r>
            <w:r w:rsidRPr="0058381F">
              <w:rPr>
                <w:lang w:val="es-ES_tradnl"/>
              </w:rPr>
              <w:t xml:space="preserve"> Smith </w:t>
            </w:r>
            <w:r>
              <w:rPr>
                <w:lang w:val="es-ES_tradnl"/>
              </w:rPr>
              <w:t>cubría la organización de un grupo</w:t>
            </w:r>
            <w:r w:rsidRPr="0058381F">
              <w:rPr>
                <w:lang w:val="es-ES_tradnl"/>
              </w:rPr>
              <w:t xml:space="preserve"> “n</w:t>
            </w:r>
            <w:r>
              <w:rPr>
                <w:lang w:val="es-ES_tradnl"/>
              </w:rPr>
              <w:t>uevo</w:t>
            </w:r>
            <w:r w:rsidRPr="0058381F">
              <w:rPr>
                <w:lang w:val="es-ES_tradnl"/>
              </w:rPr>
              <w:t>” grup</w:t>
            </w:r>
            <w:r w:rsidR="00CE74A9">
              <w:rPr>
                <w:lang w:val="es-ES_tradnl"/>
              </w:rPr>
              <w:t>o</w:t>
            </w:r>
            <w:r w:rsidRPr="0058381F">
              <w:rPr>
                <w:lang w:val="es-ES_tradnl"/>
              </w:rPr>
              <w:t xml:space="preserve"> </w:t>
            </w:r>
            <w:r w:rsidR="00966AA0">
              <w:rPr>
                <w:lang w:val="es-ES_tradnl"/>
              </w:rPr>
              <w:t xml:space="preserve">y el hecho de que el Partido Comunista se hubiera organizado tres años antes </w:t>
            </w:r>
            <w:proofErr w:type="gramStart"/>
            <w:r w:rsidR="00966AA0">
              <w:rPr>
                <w:lang w:val="es-ES_tradnl"/>
              </w:rPr>
              <w:t xml:space="preserve">lo </w:t>
            </w:r>
            <w:r w:rsidR="008D4254">
              <w:rPr>
                <w:lang w:val="es-ES_tradnl"/>
              </w:rPr>
              <w:t xml:space="preserve"> eximía</w:t>
            </w:r>
            <w:proofErr w:type="gramEnd"/>
            <w:r w:rsidR="008D4254">
              <w:rPr>
                <w:lang w:val="es-ES_tradnl"/>
              </w:rPr>
              <w:t xml:space="preserve"> de la aplicación de la ley</w:t>
            </w:r>
            <w:r w:rsidRPr="0058381F">
              <w:rPr>
                <w:lang w:val="es-ES_tradnl"/>
              </w:rPr>
              <w:t>.</w:t>
            </w:r>
          </w:p>
        </w:tc>
      </w:tr>
      <w:tr w:rsidR="00A921C9" w:rsidRPr="0058381F" w14:paraId="4C70AEB6" w14:textId="77777777">
        <w:trPr>
          <w:trHeight w:val="470"/>
        </w:trPr>
        <w:tc>
          <w:tcPr>
            <w:tcW w:w="9340" w:type="dxa"/>
          </w:tcPr>
          <w:p w14:paraId="1752C986" w14:textId="057974FE" w:rsidR="00A921C9" w:rsidRPr="0058381F" w:rsidRDefault="00000000">
            <w:pPr>
              <w:pStyle w:val="Heading1"/>
              <w:spacing w:before="0"/>
              <w:rPr>
                <w:lang w:val="es-ES_tradnl"/>
              </w:rPr>
            </w:pPr>
            <w:bookmarkStart w:id="14" w:name="_iqrod3eqdk9e" w:colFirst="0" w:colLast="0"/>
            <w:bookmarkEnd w:id="14"/>
            <w:r w:rsidRPr="0058381F">
              <w:rPr>
                <w:lang w:val="es-ES_tradnl"/>
              </w:rPr>
              <w:lastRenderedPageBreak/>
              <w:t xml:space="preserve">Case #5: </w:t>
            </w:r>
            <w:proofErr w:type="spellStart"/>
            <w:r w:rsidRPr="0058381F">
              <w:rPr>
                <w:lang w:val="es-ES_tradnl"/>
              </w:rPr>
              <w:t>Brandenburg</w:t>
            </w:r>
            <w:proofErr w:type="spellEnd"/>
            <w:r w:rsidRPr="0058381F">
              <w:rPr>
                <w:lang w:val="es-ES_tradnl"/>
              </w:rPr>
              <w:t xml:space="preserve"> </w:t>
            </w:r>
            <w:r w:rsidR="00F734D1">
              <w:rPr>
                <w:lang w:val="es-ES_tradnl"/>
              </w:rPr>
              <w:t xml:space="preserve">contra </w:t>
            </w:r>
            <w:r w:rsidRPr="0058381F">
              <w:rPr>
                <w:lang w:val="es-ES_tradnl"/>
              </w:rPr>
              <w:t>Ohio</w:t>
            </w:r>
          </w:p>
          <w:p w14:paraId="5E09C8A9" w14:textId="37BBEF7E" w:rsidR="00A921C9" w:rsidRPr="0058381F" w:rsidRDefault="00630BB1">
            <w:pPr>
              <w:pStyle w:val="Heading1"/>
              <w:rPr>
                <w:b w:val="0"/>
                <w:color w:val="000000"/>
                <w:lang w:val="es-ES_tradnl"/>
              </w:rPr>
            </w:pPr>
            <w:bookmarkStart w:id="15" w:name="_4nzc16c4vaan" w:colFirst="0" w:colLast="0"/>
            <w:bookmarkEnd w:id="15"/>
            <w:r>
              <w:rPr>
                <w:lang w:val="es-ES_tradnl"/>
              </w:rPr>
              <w:t>Defendido</w:t>
            </w:r>
            <w:r w:rsidRPr="0058381F">
              <w:rPr>
                <w:lang w:val="es-ES_tradnl"/>
              </w:rPr>
              <w:t xml:space="preserve">: </w:t>
            </w:r>
            <w:r w:rsidRPr="0058381F">
              <w:rPr>
                <w:b w:val="0"/>
                <w:color w:val="000000"/>
                <w:lang w:val="es-ES_tradnl"/>
              </w:rPr>
              <w:t>27</w:t>
            </w:r>
            <w:r>
              <w:rPr>
                <w:b w:val="0"/>
                <w:color w:val="000000"/>
                <w:lang w:val="es-ES_tradnl"/>
              </w:rPr>
              <w:t xml:space="preserve"> de febrero</w:t>
            </w:r>
            <w:r w:rsidRPr="0058381F">
              <w:rPr>
                <w:b w:val="0"/>
                <w:color w:val="000000"/>
                <w:lang w:val="es-ES_tradnl"/>
              </w:rPr>
              <w:t>, 1969</w:t>
            </w:r>
          </w:p>
          <w:p w14:paraId="3863D0F7" w14:textId="01B2CA83" w:rsidR="00A921C9" w:rsidRPr="0058381F" w:rsidRDefault="00000000">
            <w:pPr>
              <w:pStyle w:val="Heading1"/>
              <w:rPr>
                <w:lang w:val="es-ES_tradnl"/>
              </w:rPr>
            </w:pPr>
            <w:bookmarkStart w:id="16" w:name="_bcfwap6740kp" w:colFirst="0" w:colLast="0"/>
            <w:bookmarkEnd w:id="16"/>
            <w:r w:rsidRPr="0058381F">
              <w:rPr>
                <w:lang w:val="es-ES_tradnl"/>
              </w:rPr>
              <w:t>Decid</w:t>
            </w:r>
            <w:r w:rsidR="00630BB1">
              <w:rPr>
                <w:lang w:val="es-ES_tradnl"/>
              </w:rPr>
              <w:t>i</w:t>
            </w:r>
            <w:r w:rsidRPr="0058381F">
              <w:rPr>
                <w:lang w:val="es-ES_tradnl"/>
              </w:rPr>
              <w:t>d</w:t>
            </w:r>
            <w:r w:rsidR="00630BB1">
              <w:rPr>
                <w:lang w:val="es-ES_tradnl"/>
              </w:rPr>
              <w:t>o</w:t>
            </w:r>
            <w:r w:rsidRPr="0058381F">
              <w:rPr>
                <w:lang w:val="es-ES_tradnl"/>
              </w:rPr>
              <w:t xml:space="preserve">: </w:t>
            </w:r>
            <w:r w:rsidRPr="0058381F">
              <w:rPr>
                <w:b w:val="0"/>
                <w:color w:val="000000"/>
                <w:lang w:val="es-ES_tradnl"/>
              </w:rPr>
              <w:t>9</w:t>
            </w:r>
            <w:r w:rsidR="00630BB1">
              <w:rPr>
                <w:b w:val="0"/>
                <w:color w:val="000000"/>
                <w:lang w:val="es-ES_tradnl"/>
              </w:rPr>
              <w:t xml:space="preserve"> de junio</w:t>
            </w:r>
            <w:r w:rsidRPr="0058381F">
              <w:rPr>
                <w:b w:val="0"/>
                <w:color w:val="000000"/>
                <w:lang w:val="es-ES_tradnl"/>
              </w:rPr>
              <w:t>, 1969</w:t>
            </w:r>
          </w:p>
          <w:p w14:paraId="685457D7" w14:textId="4EDC81C7" w:rsidR="00A921C9" w:rsidRPr="0058381F" w:rsidRDefault="00630BB1">
            <w:pPr>
              <w:pStyle w:val="Heading1"/>
              <w:rPr>
                <w:lang w:val="es-ES_tradnl"/>
              </w:rPr>
            </w:pPr>
            <w:bookmarkStart w:id="17" w:name="_jbsm9phzrek1" w:colFirst="0" w:colLast="0"/>
            <w:bookmarkEnd w:id="17"/>
            <w:r>
              <w:rPr>
                <w:lang w:val="es-ES_tradnl"/>
              </w:rPr>
              <w:t>Los Hechos</w:t>
            </w:r>
            <w:r w:rsidRPr="0058381F">
              <w:rPr>
                <w:lang w:val="es-ES_tradnl"/>
              </w:rPr>
              <w:t>:</w:t>
            </w:r>
          </w:p>
          <w:p w14:paraId="02BB93AB" w14:textId="77777777" w:rsidR="00FE6D31" w:rsidRPr="00993F76" w:rsidRDefault="00FE6D31" w:rsidP="00FE6D31">
            <w:pPr>
              <w:pStyle w:val="Heading1"/>
              <w:spacing w:before="0"/>
              <w:rPr>
                <w:b w:val="0"/>
                <w:color w:val="000000"/>
                <w:lang w:val="es-ES_tradnl"/>
              </w:rPr>
            </w:pPr>
            <w:bookmarkStart w:id="18" w:name="_o8ecedxfh6k" w:colFirst="0" w:colLast="0"/>
            <w:bookmarkEnd w:id="18"/>
            <w:proofErr w:type="spellStart"/>
            <w:r w:rsidRPr="00993F76">
              <w:rPr>
                <w:b w:val="0"/>
                <w:color w:val="000000"/>
                <w:lang w:val="es-ES_tradnl"/>
              </w:rPr>
              <w:t>Clarence</w:t>
            </w:r>
            <w:proofErr w:type="spellEnd"/>
            <w:r w:rsidRPr="00993F76">
              <w:rPr>
                <w:b w:val="0"/>
                <w:color w:val="000000"/>
                <w:lang w:val="es-ES_tradnl"/>
              </w:rPr>
              <w:t xml:space="preserve"> </w:t>
            </w:r>
            <w:proofErr w:type="spellStart"/>
            <w:r w:rsidRPr="00993F76">
              <w:rPr>
                <w:b w:val="0"/>
                <w:color w:val="000000"/>
                <w:lang w:val="es-ES_tradnl"/>
              </w:rPr>
              <w:t>Brandenburg</w:t>
            </w:r>
            <w:proofErr w:type="spellEnd"/>
            <w:r w:rsidRPr="00993F76">
              <w:rPr>
                <w:b w:val="0"/>
                <w:color w:val="000000"/>
                <w:lang w:val="es-ES_tradnl"/>
              </w:rPr>
              <w:t xml:space="preserve"> </w:t>
            </w:r>
            <w:r>
              <w:rPr>
                <w:b w:val="0"/>
                <w:color w:val="000000"/>
                <w:lang w:val="es-ES_tradnl"/>
              </w:rPr>
              <w:t xml:space="preserve">fue grabado por los medios de comunicación dando un discurso a un pequeño grupo del </w:t>
            </w:r>
            <w:proofErr w:type="spellStart"/>
            <w:r w:rsidRPr="00993F76">
              <w:rPr>
                <w:b w:val="0"/>
                <w:color w:val="000000"/>
                <w:lang w:val="es-ES_tradnl"/>
              </w:rPr>
              <w:t>Ku</w:t>
            </w:r>
            <w:proofErr w:type="spellEnd"/>
            <w:r w:rsidRPr="00993F76">
              <w:rPr>
                <w:b w:val="0"/>
                <w:color w:val="000000"/>
                <w:lang w:val="es-ES_tradnl"/>
              </w:rPr>
              <w:t xml:space="preserve"> </w:t>
            </w:r>
            <w:proofErr w:type="spellStart"/>
            <w:r w:rsidRPr="00993F76">
              <w:rPr>
                <w:b w:val="0"/>
                <w:color w:val="000000"/>
                <w:lang w:val="es-ES_tradnl"/>
              </w:rPr>
              <w:t>Klux</w:t>
            </w:r>
            <w:proofErr w:type="spellEnd"/>
            <w:r w:rsidRPr="00993F76">
              <w:rPr>
                <w:b w:val="0"/>
                <w:color w:val="000000"/>
                <w:lang w:val="es-ES_tradnl"/>
              </w:rPr>
              <w:t xml:space="preserve"> </w:t>
            </w:r>
            <w:proofErr w:type="spellStart"/>
            <w:r w:rsidRPr="00993F76">
              <w:rPr>
                <w:b w:val="0"/>
                <w:color w:val="000000"/>
                <w:lang w:val="es-ES_tradnl"/>
              </w:rPr>
              <w:t>Klan</w:t>
            </w:r>
            <w:proofErr w:type="spellEnd"/>
            <w:r w:rsidRPr="00993F76">
              <w:rPr>
                <w:b w:val="0"/>
                <w:color w:val="000000"/>
                <w:lang w:val="es-ES_tradnl"/>
              </w:rPr>
              <w:t xml:space="preserve">. </w:t>
            </w:r>
            <w:r>
              <w:rPr>
                <w:b w:val="0"/>
                <w:color w:val="000000"/>
                <w:lang w:val="es-ES_tradnl"/>
              </w:rPr>
              <w:t>En el discurso hizo declaraciones antisemitas y anti-negras aludiendo a la posibilidad de venganza</w:t>
            </w:r>
            <w:r w:rsidRPr="00993F76">
              <w:rPr>
                <w:b w:val="0"/>
                <w:color w:val="000000"/>
                <w:lang w:val="es-ES_tradnl"/>
              </w:rPr>
              <w:t>.</w:t>
            </w:r>
          </w:p>
          <w:p w14:paraId="432D6A37" w14:textId="0ABA3CDA" w:rsidR="00A921C9" w:rsidRPr="0058381F" w:rsidRDefault="00204310">
            <w:pPr>
              <w:pStyle w:val="Heading1"/>
              <w:rPr>
                <w:lang w:val="es-ES_tradnl"/>
              </w:rPr>
            </w:pPr>
            <w:bookmarkStart w:id="19" w:name="_n23pod55k67g" w:colFirst="0" w:colLast="0"/>
            <w:bookmarkEnd w:id="19"/>
            <w:r>
              <w:rPr>
                <w:lang w:val="es-ES_tradnl"/>
              </w:rPr>
              <w:t>Cuestión</w:t>
            </w:r>
            <w:r w:rsidRPr="0058381F">
              <w:rPr>
                <w:lang w:val="es-ES_tradnl"/>
              </w:rPr>
              <w:t xml:space="preserve">: </w:t>
            </w:r>
          </w:p>
          <w:p w14:paraId="405094A6" w14:textId="1F03333F" w:rsidR="00A921C9" w:rsidRPr="0058381F" w:rsidRDefault="00A12D1C">
            <w:pPr>
              <w:rPr>
                <w:lang w:val="es-ES_tradnl"/>
              </w:rPr>
            </w:pPr>
            <w:r>
              <w:rPr>
                <w:lang w:val="es-ES_tradnl"/>
              </w:rPr>
              <w:t xml:space="preserve">¿Se violó el derecho a la libertad de expresión de </w:t>
            </w:r>
            <w:proofErr w:type="spellStart"/>
            <w:r w:rsidRPr="00993F76">
              <w:rPr>
                <w:lang w:val="es-ES_tradnl"/>
              </w:rPr>
              <w:t>Brandenburg</w:t>
            </w:r>
            <w:proofErr w:type="spellEnd"/>
            <w:r>
              <w:rPr>
                <w:lang w:val="es-ES_tradnl"/>
              </w:rPr>
              <w:t xml:space="preserve"> con la ley de </w:t>
            </w:r>
            <w:r w:rsidRPr="00993F76">
              <w:rPr>
                <w:lang w:val="es-ES_tradnl"/>
              </w:rPr>
              <w:t>Ohio</w:t>
            </w:r>
            <w:r>
              <w:rPr>
                <w:lang w:val="es-ES_tradnl"/>
              </w:rPr>
              <w:t xml:space="preserve"> que prohibía alentar el derrocamiento violento del gobierno</w:t>
            </w:r>
            <w:r w:rsidRPr="00993F76">
              <w:rPr>
                <w:lang w:val="es-ES_tradnl"/>
              </w:rPr>
              <w:t>?</w:t>
            </w:r>
          </w:p>
          <w:p w14:paraId="6E6387E2" w14:textId="307B4ADC" w:rsidR="00A921C9" w:rsidRPr="0058381F" w:rsidRDefault="00000000">
            <w:pPr>
              <w:pStyle w:val="Heading1"/>
              <w:rPr>
                <w:lang w:val="es-ES_tradnl"/>
              </w:rPr>
            </w:pPr>
            <w:bookmarkStart w:id="20" w:name="_k8iqjixitxqb" w:colFirst="0" w:colLast="0"/>
            <w:bookmarkEnd w:id="20"/>
            <w:r w:rsidRPr="0058381F">
              <w:rPr>
                <w:lang w:val="es-ES_tradnl"/>
              </w:rPr>
              <w:t>Conclusi</w:t>
            </w:r>
            <w:r w:rsidR="00204310">
              <w:rPr>
                <w:lang w:val="es-ES_tradnl"/>
              </w:rPr>
              <w:t>ó</w:t>
            </w:r>
            <w:r w:rsidRPr="0058381F">
              <w:rPr>
                <w:lang w:val="es-ES_tradnl"/>
              </w:rPr>
              <w:t>n:</w:t>
            </w:r>
          </w:p>
          <w:p w14:paraId="7B60D24C" w14:textId="03D461B5" w:rsidR="00A921C9" w:rsidRPr="0058381F" w:rsidRDefault="001B018B">
            <w:pPr>
              <w:rPr>
                <w:lang w:val="es-ES_tradnl"/>
              </w:rPr>
            </w:pPr>
            <w:r>
              <w:rPr>
                <w:lang w:val="es-ES_tradnl"/>
              </w:rPr>
              <w:t xml:space="preserve">La Corte dictamino que la ley de Ohio violaba el derecho a la libertad </w:t>
            </w:r>
            <w:r w:rsidR="00D70230">
              <w:rPr>
                <w:lang w:val="es-ES_tradnl"/>
              </w:rPr>
              <w:t xml:space="preserve">de expresión de </w:t>
            </w:r>
            <w:proofErr w:type="spellStart"/>
            <w:r w:rsidRPr="0058381F">
              <w:rPr>
                <w:lang w:val="es-ES_tradnl"/>
              </w:rPr>
              <w:t>Brandenburg</w:t>
            </w:r>
            <w:proofErr w:type="spellEnd"/>
            <w:r w:rsidRPr="0058381F">
              <w:rPr>
                <w:lang w:val="es-ES_tradnl"/>
              </w:rPr>
              <w:t xml:space="preserve">. </w:t>
            </w:r>
            <w:r w:rsidR="00D70230">
              <w:rPr>
                <w:lang w:val="es-ES_tradnl"/>
              </w:rPr>
              <w:t>Su discurso no incitaba directamente a cometer actos ilegales</w:t>
            </w:r>
            <w:r w:rsidRPr="0058381F">
              <w:rPr>
                <w:lang w:val="es-ES_tradnl"/>
              </w:rPr>
              <w:t xml:space="preserve">. </w:t>
            </w:r>
            <w:r w:rsidR="00DF129F">
              <w:rPr>
                <w:lang w:val="es-ES_tradnl"/>
              </w:rPr>
              <w:t>Esto también creó la prueba de</w:t>
            </w:r>
            <w:r w:rsidRPr="0058381F">
              <w:rPr>
                <w:lang w:val="es-ES_tradnl"/>
              </w:rPr>
              <w:t xml:space="preserve"> </w:t>
            </w:r>
            <w:proofErr w:type="spellStart"/>
            <w:r w:rsidRPr="0058381F">
              <w:rPr>
                <w:lang w:val="es-ES_tradnl"/>
              </w:rPr>
              <w:t>Brandenburg</w:t>
            </w:r>
            <w:proofErr w:type="spellEnd"/>
            <w:r w:rsidRPr="0058381F">
              <w:rPr>
                <w:lang w:val="es-ES_tradnl"/>
              </w:rPr>
              <w:t xml:space="preserve"> </w:t>
            </w:r>
            <w:r w:rsidR="00DF129F">
              <w:rPr>
                <w:lang w:val="es-ES_tradnl"/>
              </w:rPr>
              <w:t>para evaluar los discursos</w:t>
            </w:r>
            <w:r w:rsidRPr="0058381F">
              <w:rPr>
                <w:lang w:val="es-ES_tradnl"/>
              </w:rPr>
              <w:t xml:space="preserve">. </w:t>
            </w:r>
            <w:r w:rsidR="00DF129F">
              <w:rPr>
                <w:lang w:val="es-ES_tradnl"/>
              </w:rPr>
              <w:t>¿Incita el discurso directamente a cometer actos ilícitos o es probable que incite a cometerlos</w:t>
            </w:r>
            <w:r w:rsidRPr="0058381F">
              <w:rPr>
                <w:lang w:val="es-ES_tradnl"/>
              </w:rPr>
              <w:t>?</w:t>
            </w:r>
          </w:p>
        </w:tc>
      </w:tr>
    </w:tbl>
    <w:p w14:paraId="19EB54C3" w14:textId="77777777" w:rsidR="00A921C9" w:rsidRPr="0058381F" w:rsidRDefault="00A921C9">
      <w:pPr>
        <w:spacing w:after="0" w:line="240" w:lineRule="auto"/>
        <w:rPr>
          <w:lang w:val="es-ES_tradnl"/>
        </w:rPr>
      </w:pPr>
    </w:p>
    <w:p w14:paraId="741F6BBE" w14:textId="77777777" w:rsidR="00A921C9" w:rsidRPr="0058381F" w:rsidRDefault="00A921C9">
      <w:pPr>
        <w:spacing w:after="0" w:line="240" w:lineRule="auto"/>
        <w:rPr>
          <w:lang w:val="es-ES_tradnl"/>
        </w:rPr>
      </w:pPr>
    </w:p>
    <w:p w14:paraId="74754CFC" w14:textId="77777777" w:rsidR="00A921C9" w:rsidRPr="0058381F" w:rsidRDefault="00A921C9">
      <w:pPr>
        <w:spacing w:after="0" w:line="240" w:lineRule="auto"/>
        <w:rPr>
          <w:lang w:val="es-ES_tradnl"/>
        </w:rPr>
      </w:pPr>
    </w:p>
    <w:p w14:paraId="53174E37" w14:textId="73B144BE" w:rsidR="00A921C9" w:rsidRPr="0058381F" w:rsidRDefault="00000000">
      <w:pPr>
        <w:spacing w:after="0" w:line="240" w:lineRule="auto"/>
        <w:rPr>
          <w:lang w:val="es-ES_tradnl"/>
        </w:rPr>
      </w:pPr>
      <w:r w:rsidRPr="0058381F">
        <w:rPr>
          <w:lang w:val="es-ES_tradnl"/>
        </w:rPr>
        <w:t>Re</w:t>
      </w:r>
      <w:r w:rsidR="00F57B1E">
        <w:rPr>
          <w:lang w:val="es-ES_tradnl"/>
        </w:rPr>
        <w:t>cursos</w:t>
      </w:r>
      <w:r w:rsidRPr="0058381F">
        <w:rPr>
          <w:lang w:val="es-ES_tradnl"/>
        </w:rPr>
        <w:t>:</w:t>
      </w:r>
    </w:p>
    <w:p w14:paraId="402078C2" w14:textId="77777777" w:rsidR="00A921C9" w:rsidRPr="0058381F" w:rsidRDefault="00000000">
      <w:pPr>
        <w:spacing w:after="0" w:line="240" w:lineRule="auto"/>
        <w:rPr>
          <w:sz w:val="22"/>
          <w:szCs w:val="22"/>
          <w:lang w:val="es-ES_tradnl"/>
        </w:rPr>
      </w:pPr>
      <w:hyperlink r:id="rId6">
        <w:r w:rsidRPr="0058381F">
          <w:rPr>
            <w:color w:val="1155CC"/>
            <w:sz w:val="22"/>
            <w:szCs w:val="22"/>
            <w:u w:val="single"/>
            <w:lang w:val="es-ES_tradnl"/>
          </w:rPr>
          <w:t>https://www.lexisnexis.com/community/casebrief/p/casebrief-schenck-v-united-states</w:t>
        </w:r>
      </w:hyperlink>
    </w:p>
    <w:p w14:paraId="38C59015" w14:textId="77777777" w:rsidR="00A921C9" w:rsidRPr="0058381F" w:rsidRDefault="00000000">
      <w:pPr>
        <w:spacing w:after="0" w:line="240" w:lineRule="auto"/>
        <w:rPr>
          <w:sz w:val="22"/>
          <w:szCs w:val="22"/>
          <w:lang w:val="es-ES_tradnl"/>
        </w:rPr>
      </w:pPr>
      <w:hyperlink r:id="rId7">
        <w:r w:rsidRPr="0058381F">
          <w:rPr>
            <w:color w:val="1155CC"/>
            <w:sz w:val="22"/>
            <w:szCs w:val="22"/>
            <w:u w:val="single"/>
            <w:lang w:val="es-ES_tradnl"/>
          </w:rPr>
          <w:t>https://www.mtsu.edu/first-amendment/article/193/schenck-v-united-states</w:t>
        </w:r>
      </w:hyperlink>
    </w:p>
    <w:p w14:paraId="0E3534CC" w14:textId="77777777" w:rsidR="00A921C9" w:rsidRPr="0058381F" w:rsidRDefault="00000000">
      <w:pPr>
        <w:spacing w:after="0" w:line="240" w:lineRule="auto"/>
        <w:rPr>
          <w:sz w:val="28"/>
          <w:szCs w:val="28"/>
          <w:lang w:val="es-ES_tradnl"/>
        </w:rPr>
      </w:pPr>
      <w:hyperlink r:id="rId8">
        <w:r w:rsidRPr="0058381F">
          <w:rPr>
            <w:color w:val="1155CC"/>
            <w:sz w:val="22"/>
            <w:szCs w:val="22"/>
            <w:u w:val="single"/>
            <w:lang w:val="es-ES_tradnl"/>
          </w:rPr>
          <w:t>https://www.mtsu.edu/first-amendment/article/182/bond-v-floyd</w:t>
        </w:r>
      </w:hyperlink>
    </w:p>
    <w:p w14:paraId="2A372E4F" w14:textId="77777777" w:rsidR="00A921C9" w:rsidRPr="0058381F" w:rsidRDefault="00000000">
      <w:pPr>
        <w:spacing w:after="0" w:line="240" w:lineRule="auto"/>
        <w:rPr>
          <w:sz w:val="20"/>
          <w:szCs w:val="20"/>
          <w:lang w:val="es-ES_tradnl"/>
        </w:rPr>
      </w:pPr>
      <w:hyperlink r:id="rId9">
        <w:r w:rsidRPr="0058381F">
          <w:rPr>
            <w:color w:val="1155CC"/>
            <w:sz w:val="20"/>
            <w:szCs w:val="20"/>
            <w:u w:val="single"/>
            <w:lang w:val="es-ES_tradnl"/>
          </w:rPr>
          <w:t>https://constitutioncenter.org/the-constitution/supreme-court-case-library/abrams-v-united-states</w:t>
        </w:r>
      </w:hyperlink>
    </w:p>
    <w:p w14:paraId="21F84905" w14:textId="77777777" w:rsidR="00A921C9" w:rsidRPr="0058381F" w:rsidRDefault="00000000">
      <w:pPr>
        <w:spacing w:after="0" w:line="240" w:lineRule="auto"/>
        <w:rPr>
          <w:sz w:val="20"/>
          <w:szCs w:val="20"/>
          <w:lang w:val="es-ES_tradnl"/>
        </w:rPr>
      </w:pPr>
      <w:hyperlink r:id="rId10" w:anchor=":~:text=Congress%2C%20public%20domain)-,In%20Abrams%20v.,Justice%20Oliver%20Wendell%20Holmes%20Jr">
        <w:r w:rsidRPr="0058381F">
          <w:rPr>
            <w:color w:val="1155CC"/>
            <w:sz w:val="20"/>
            <w:szCs w:val="20"/>
            <w:u w:val="single"/>
            <w:lang w:val="es-ES_tradnl"/>
          </w:rPr>
          <w:t>https://www.mtsu.edu/first-amendment/article/328/abrams-v-united-states#:~:text=Congress%2C%20public%20domain)-,In%20Abrams%20v.,Justice%20 Oliver%20 Wendell%20 Holmes%20Jr</w:t>
        </w:r>
      </w:hyperlink>
      <w:r w:rsidRPr="0058381F">
        <w:rPr>
          <w:sz w:val="20"/>
          <w:szCs w:val="20"/>
          <w:lang w:val="es-ES_tradnl"/>
        </w:rPr>
        <w:t>.</w:t>
      </w:r>
    </w:p>
    <w:p w14:paraId="4D1600C2" w14:textId="77777777" w:rsidR="00A921C9" w:rsidRPr="0058381F" w:rsidRDefault="00000000">
      <w:pPr>
        <w:spacing w:after="0" w:line="240" w:lineRule="auto"/>
        <w:rPr>
          <w:sz w:val="20"/>
          <w:szCs w:val="20"/>
          <w:lang w:val="es-ES_tradnl"/>
        </w:rPr>
      </w:pPr>
      <w:hyperlink r:id="rId11">
        <w:r w:rsidRPr="0058381F">
          <w:rPr>
            <w:color w:val="1155CC"/>
            <w:sz w:val="20"/>
            <w:szCs w:val="20"/>
            <w:u w:val="single"/>
            <w:lang w:val="es-ES_tradnl"/>
          </w:rPr>
          <w:t>https://www.oyez.org/cases/1900-1940/250us616</w:t>
        </w:r>
      </w:hyperlink>
    </w:p>
    <w:p w14:paraId="6027F84D" w14:textId="77777777" w:rsidR="00A921C9" w:rsidRPr="0058381F" w:rsidRDefault="00000000">
      <w:pPr>
        <w:spacing w:after="0" w:line="240" w:lineRule="auto"/>
        <w:rPr>
          <w:sz w:val="22"/>
          <w:szCs w:val="22"/>
          <w:lang w:val="es-ES_tradnl"/>
        </w:rPr>
      </w:pPr>
      <w:hyperlink r:id="rId12">
        <w:r w:rsidRPr="0058381F">
          <w:rPr>
            <w:color w:val="1155CC"/>
            <w:sz w:val="22"/>
            <w:szCs w:val="22"/>
            <w:u w:val="single"/>
            <w:lang w:val="es-ES_tradnl"/>
          </w:rPr>
          <w:t>https://www.lexisnexis.com/community/casebrief/p/casebrief-shaffer-v-united-states</w:t>
        </w:r>
      </w:hyperlink>
    </w:p>
    <w:p w14:paraId="786D9C67" w14:textId="77777777" w:rsidR="00A921C9" w:rsidRPr="0058381F" w:rsidRDefault="00000000">
      <w:pPr>
        <w:spacing w:after="0" w:line="240" w:lineRule="auto"/>
        <w:rPr>
          <w:sz w:val="22"/>
          <w:szCs w:val="22"/>
          <w:lang w:val="es-ES_tradnl"/>
        </w:rPr>
      </w:pPr>
      <w:hyperlink r:id="rId13">
        <w:r w:rsidRPr="0058381F">
          <w:rPr>
            <w:color w:val="1155CC"/>
            <w:sz w:val="22"/>
            <w:szCs w:val="22"/>
            <w:u w:val="single"/>
            <w:lang w:val="es-ES_tradnl"/>
          </w:rPr>
          <w:t>https://cite.case.law/f/255/886/</w:t>
        </w:r>
      </w:hyperlink>
    </w:p>
    <w:p w14:paraId="201613FB" w14:textId="77777777" w:rsidR="00A921C9" w:rsidRPr="0058381F" w:rsidRDefault="00000000">
      <w:pPr>
        <w:spacing w:after="0" w:line="240" w:lineRule="auto"/>
        <w:rPr>
          <w:sz w:val="20"/>
          <w:szCs w:val="20"/>
          <w:lang w:val="es-ES_tradnl"/>
        </w:rPr>
      </w:pPr>
      <w:hyperlink r:id="rId14">
        <w:r w:rsidRPr="0058381F">
          <w:rPr>
            <w:color w:val="1155CC"/>
            <w:sz w:val="20"/>
            <w:szCs w:val="20"/>
            <w:u w:val="single"/>
            <w:lang w:val="es-ES_tradnl"/>
          </w:rPr>
          <w:t>https://www.oyez.org/cases/1900-1940/274us357</w:t>
        </w:r>
      </w:hyperlink>
    </w:p>
    <w:p w14:paraId="0A0941B4" w14:textId="77777777" w:rsidR="00A921C9" w:rsidRPr="0058381F" w:rsidRDefault="00000000">
      <w:pPr>
        <w:spacing w:after="0" w:line="240" w:lineRule="auto"/>
        <w:rPr>
          <w:sz w:val="20"/>
          <w:szCs w:val="20"/>
          <w:lang w:val="es-ES_tradnl"/>
        </w:rPr>
      </w:pPr>
      <w:hyperlink r:id="rId15">
        <w:r w:rsidRPr="0058381F">
          <w:rPr>
            <w:color w:val="1155CC"/>
            <w:sz w:val="20"/>
            <w:szCs w:val="20"/>
            <w:u w:val="single"/>
            <w:lang w:val="es-ES_tradnl"/>
          </w:rPr>
          <w:t>https://www.mtsu.edu/first-amendment/article/263/whitney-v-california</w:t>
        </w:r>
      </w:hyperlink>
    </w:p>
    <w:p w14:paraId="202A4EBD" w14:textId="77777777" w:rsidR="00A921C9" w:rsidRPr="0058381F" w:rsidRDefault="00000000">
      <w:pPr>
        <w:spacing w:after="0" w:line="240" w:lineRule="auto"/>
        <w:rPr>
          <w:sz w:val="22"/>
          <w:szCs w:val="22"/>
          <w:lang w:val="es-ES_tradnl"/>
        </w:rPr>
      </w:pPr>
      <w:hyperlink r:id="rId16">
        <w:r w:rsidRPr="0058381F">
          <w:rPr>
            <w:color w:val="1155CC"/>
            <w:sz w:val="22"/>
            <w:szCs w:val="22"/>
            <w:u w:val="single"/>
            <w:lang w:val="es-ES_tradnl"/>
          </w:rPr>
          <w:t>https://www.oyez.org/cases/1956/6</w:t>
        </w:r>
      </w:hyperlink>
    </w:p>
    <w:p w14:paraId="121B72EB" w14:textId="77777777" w:rsidR="00A921C9" w:rsidRPr="0058381F" w:rsidRDefault="00000000">
      <w:pPr>
        <w:spacing w:after="0" w:line="240" w:lineRule="auto"/>
        <w:rPr>
          <w:sz w:val="28"/>
          <w:szCs w:val="28"/>
          <w:lang w:val="es-ES_tradnl"/>
        </w:rPr>
      </w:pPr>
      <w:hyperlink r:id="rId17">
        <w:r w:rsidRPr="0058381F">
          <w:rPr>
            <w:color w:val="1155CC"/>
            <w:sz w:val="22"/>
            <w:szCs w:val="22"/>
            <w:u w:val="single"/>
            <w:lang w:val="es-ES_tradnl"/>
          </w:rPr>
          <w:t>https://www.lexisnexis.com/community/casebrief/p/casebrief-yates-v-united-states-722674872</w:t>
        </w:r>
      </w:hyperlink>
    </w:p>
    <w:p w14:paraId="42145512" w14:textId="77777777" w:rsidR="00A921C9" w:rsidRPr="0058381F" w:rsidRDefault="00000000">
      <w:pPr>
        <w:spacing w:after="0" w:line="240" w:lineRule="auto"/>
        <w:rPr>
          <w:sz w:val="22"/>
          <w:szCs w:val="22"/>
          <w:lang w:val="es-ES_tradnl"/>
        </w:rPr>
      </w:pPr>
      <w:hyperlink r:id="rId18">
        <w:r w:rsidRPr="0058381F">
          <w:rPr>
            <w:color w:val="1155CC"/>
            <w:sz w:val="22"/>
            <w:szCs w:val="22"/>
            <w:u w:val="single"/>
            <w:lang w:val="es-ES_tradnl"/>
          </w:rPr>
          <w:t>https://www.mtsu.edu/first-amendment/article/189/brandenburg-v-ohio</w:t>
        </w:r>
      </w:hyperlink>
    </w:p>
    <w:p w14:paraId="21107A1E" w14:textId="77777777" w:rsidR="00A921C9" w:rsidRPr="0058381F" w:rsidRDefault="00000000">
      <w:pPr>
        <w:spacing w:after="0" w:line="240" w:lineRule="auto"/>
        <w:rPr>
          <w:sz w:val="28"/>
          <w:szCs w:val="28"/>
          <w:lang w:val="es-ES_tradnl"/>
        </w:rPr>
      </w:pPr>
      <w:hyperlink r:id="rId19">
        <w:r w:rsidRPr="0058381F">
          <w:rPr>
            <w:color w:val="1155CC"/>
            <w:sz w:val="22"/>
            <w:szCs w:val="22"/>
            <w:u w:val="single"/>
            <w:lang w:val="es-ES_tradnl"/>
          </w:rPr>
          <w:t>https://www.oyez.org/cases/1968/492</w:t>
        </w:r>
      </w:hyperlink>
    </w:p>
    <w:p w14:paraId="10299DEE" w14:textId="77777777" w:rsidR="00A921C9" w:rsidRPr="0058381F" w:rsidRDefault="00A921C9">
      <w:pPr>
        <w:spacing w:after="0" w:line="240" w:lineRule="auto"/>
        <w:rPr>
          <w:lang w:val="es-ES_tradnl"/>
        </w:rPr>
      </w:pPr>
    </w:p>
    <w:p w14:paraId="279C5C73" w14:textId="77777777" w:rsidR="00A921C9" w:rsidRPr="0058381F" w:rsidRDefault="00A921C9">
      <w:pPr>
        <w:spacing w:after="0" w:line="240" w:lineRule="auto"/>
        <w:rPr>
          <w:lang w:val="es-ES_tradnl"/>
        </w:rPr>
      </w:pPr>
    </w:p>
    <w:sectPr w:rsidR="00A921C9" w:rsidRPr="0058381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2D1D" w14:textId="77777777" w:rsidR="00E56F50" w:rsidRDefault="00E56F50">
      <w:pPr>
        <w:spacing w:after="0" w:line="240" w:lineRule="auto"/>
      </w:pPr>
      <w:r>
        <w:separator/>
      </w:r>
    </w:p>
  </w:endnote>
  <w:endnote w:type="continuationSeparator" w:id="0">
    <w:p w14:paraId="0F6E9EDC" w14:textId="77777777" w:rsidR="00E56F50" w:rsidRDefault="00E5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9F1B" w14:textId="77777777" w:rsidR="000A0880" w:rsidRDefault="000A0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454E" w14:textId="77777777" w:rsidR="00A921C9"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E6DA7CF" wp14:editId="1FCB69F9">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9AD2AA8" wp14:editId="634A4785">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3A6A703" w14:textId="77777777" w:rsidR="00A921C9" w:rsidRPr="005B2CA3" w:rsidRDefault="00000000">
                          <w:pPr>
                            <w:spacing w:after="0" w:line="240" w:lineRule="auto"/>
                            <w:jc w:val="right"/>
                            <w:textDirection w:val="btLr"/>
                            <w:rPr>
                              <w:rFonts w:asciiTheme="majorHAnsi" w:hAnsiTheme="majorHAnsi" w:cstheme="majorHAnsi"/>
                            </w:rPr>
                          </w:pPr>
                          <w:r w:rsidRPr="005B2CA3">
                            <w:rPr>
                              <w:rFonts w:asciiTheme="majorHAnsi" w:eastAsia="Arial" w:hAnsiTheme="majorHAnsi" w:cstheme="majorHAnsi"/>
                              <w:b/>
                              <w:smallCaps/>
                              <w:color w:val="2D2D2D"/>
                            </w:rPr>
                            <w:t>CLEAR AND PRESENT DANGER</w:t>
                          </w:r>
                        </w:p>
                      </w:txbxContent>
                    </wps:txbx>
                    <wps:bodyPr spcFirstLastPara="1" wrap="square" lIns="91425" tIns="45700" rIns="91425" bIns="45700" anchor="t" anchorCtr="0">
                      <a:noAutofit/>
                    </wps:bodyPr>
                  </wps:wsp>
                </a:graphicData>
              </a:graphic>
            </wp:anchor>
          </w:drawing>
        </mc:Choice>
        <mc:Fallback>
          <w:pict>
            <v:rect w14:anchorId="59AD2AA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33A6A703" w14:textId="77777777" w:rsidR="00A921C9" w:rsidRPr="005B2CA3" w:rsidRDefault="00000000">
                    <w:pPr>
                      <w:spacing w:after="0" w:line="240" w:lineRule="auto"/>
                      <w:jc w:val="right"/>
                      <w:textDirection w:val="btLr"/>
                      <w:rPr>
                        <w:rFonts w:asciiTheme="majorHAnsi" w:hAnsiTheme="majorHAnsi" w:cstheme="majorHAnsi"/>
                      </w:rPr>
                    </w:pPr>
                    <w:r w:rsidRPr="005B2CA3">
                      <w:rPr>
                        <w:rFonts w:asciiTheme="majorHAnsi" w:eastAsia="Arial" w:hAnsiTheme="majorHAnsi" w:cstheme="majorHAnsi"/>
                        <w:b/>
                        <w:smallCaps/>
                        <w:color w:val="2D2D2D"/>
                      </w:rPr>
                      <w:t>CLEAR AND PRESENT DANGER</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61DA" w14:textId="77777777" w:rsidR="000A0880" w:rsidRDefault="000A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D880" w14:textId="77777777" w:rsidR="00E56F50" w:rsidRDefault="00E56F50">
      <w:pPr>
        <w:spacing w:after="0" w:line="240" w:lineRule="auto"/>
      </w:pPr>
      <w:r>
        <w:separator/>
      </w:r>
    </w:p>
  </w:footnote>
  <w:footnote w:type="continuationSeparator" w:id="0">
    <w:p w14:paraId="5D880951" w14:textId="77777777" w:rsidR="00E56F50" w:rsidRDefault="00E56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163" w14:textId="77777777" w:rsidR="000A0880" w:rsidRDefault="000A0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75E0" w14:textId="77777777" w:rsidR="000A0880" w:rsidRDefault="000A0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3457" w14:textId="77777777" w:rsidR="000A0880" w:rsidRDefault="000A0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9"/>
    <w:rsid w:val="000A0880"/>
    <w:rsid w:val="001B018B"/>
    <w:rsid w:val="00204310"/>
    <w:rsid w:val="00206150"/>
    <w:rsid w:val="002066D1"/>
    <w:rsid w:val="002C4FF7"/>
    <w:rsid w:val="00376566"/>
    <w:rsid w:val="004D1BA2"/>
    <w:rsid w:val="00523AF8"/>
    <w:rsid w:val="0058381F"/>
    <w:rsid w:val="005B2CA3"/>
    <w:rsid w:val="006247A2"/>
    <w:rsid w:val="00630BB1"/>
    <w:rsid w:val="00684CBA"/>
    <w:rsid w:val="00700010"/>
    <w:rsid w:val="00766D5A"/>
    <w:rsid w:val="008B2954"/>
    <w:rsid w:val="008D4254"/>
    <w:rsid w:val="00966AA0"/>
    <w:rsid w:val="00977A02"/>
    <w:rsid w:val="009A1E55"/>
    <w:rsid w:val="009F750E"/>
    <w:rsid w:val="00A12D1C"/>
    <w:rsid w:val="00A87049"/>
    <w:rsid w:val="00A921C9"/>
    <w:rsid w:val="00AC3C2A"/>
    <w:rsid w:val="00C143A4"/>
    <w:rsid w:val="00CD691C"/>
    <w:rsid w:val="00CE74A9"/>
    <w:rsid w:val="00D64AD1"/>
    <w:rsid w:val="00D70230"/>
    <w:rsid w:val="00DA1A77"/>
    <w:rsid w:val="00DA69CA"/>
    <w:rsid w:val="00DE0A8D"/>
    <w:rsid w:val="00DF129F"/>
    <w:rsid w:val="00DF6369"/>
    <w:rsid w:val="00E56F50"/>
    <w:rsid w:val="00E56F70"/>
    <w:rsid w:val="00E573F5"/>
    <w:rsid w:val="00F3719D"/>
    <w:rsid w:val="00F57B1E"/>
    <w:rsid w:val="00F734D1"/>
    <w:rsid w:val="00FD71ED"/>
    <w:rsid w:val="00FE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67B23"/>
  <w15:docId w15:val="{ABD173C9-2C41-4449-9608-E5AB5D83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1"/>
  </w:style>
  <w:style w:type="paragraph" w:styleId="Heading1">
    <w:name w:val="heading 1"/>
    <w:basedOn w:val="Normal"/>
    <w:next w:val="Normal"/>
    <w:link w:val="Heading1Char"/>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styleId="TableGrid">
    <w:name w:val="Table Grid"/>
    <w:basedOn w:val="TableNormal"/>
    <w:uiPriority w:val="39"/>
    <w:rsid w:val="00D64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4AD1"/>
    <w:rPr>
      <w:b/>
      <w:color w:val="910D28"/>
      <w:highlight w:val="white"/>
    </w:rPr>
  </w:style>
  <w:style w:type="paragraph" w:styleId="Header">
    <w:name w:val="header"/>
    <w:basedOn w:val="Normal"/>
    <w:link w:val="HeaderChar"/>
    <w:uiPriority w:val="99"/>
    <w:unhideWhenUsed/>
    <w:rsid w:val="000A0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880"/>
  </w:style>
  <w:style w:type="paragraph" w:styleId="Footer">
    <w:name w:val="footer"/>
    <w:basedOn w:val="Normal"/>
    <w:link w:val="FooterChar"/>
    <w:uiPriority w:val="99"/>
    <w:unhideWhenUsed/>
    <w:rsid w:val="000A0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tsu.edu/first-amendment/article/182/bond-v-floyd" TargetMode="External"/><Relationship Id="rId13" Type="http://schemas.openxmlformats.org/officeDocument/2006/relationships/hyperlink" Target="https://cite.case.law/f/255/886/" TargetMode="External"/><Relationship Id="rId18" Type="http://schemas.openxmlformats.org/officeDocument/2006/relationships/hyperlink" Target="https://www.mtsu.edu/first-amendment/article/189/brandenburg-v-ohi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mtsu.edu/first-amendment/article/193/schenck-v-united-states" TargetMode="External"/><Relationship Id="rId12" Type="http://schemas.openxmlformats.org/officeDocument/2006/relationships/hyperlink" Target="https://www.lexisnexis.com/community/casebrief/p/casebrief-shaffer-v-united-states" TargetMode="External"/><Relationship Id="rId17" Type="http://schemas.openxmlformats.org/officeDocument/2006/relationships/hyperlink" Target="https://www.lexisnexis.com/community/casebrief/p/casebrief-yates-v-united-states-722674872"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oyez.org/cases/1956/6"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lexisnexis.com/community/casebrief/p/casebrief-schenck-v-united-states" TargetMode="External"/><Relationship Id="rId11" Type="http://schemas.openxmlformats.org/officeDocument/2006/relationships/hyperlink" Target="https://www.oyez.org/cases/1900-1940/250us616"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mtsu.edu/first-amendment/article/263/whitney-v-california" TargetMode="External"/><Relationship Id="rId23" Type="http://schemas.openxmlformats.org/officeDocument/2006/relationships/footer" Target="footer2.xml"/><Relationship Id="rId10" Type="http://schemas.openxmlformats.org/officeDocument/2006/relationships/hyperlink" Target="https://www.mtsu.edu/first-amendment/article/328/abrams-v-united-states" TargetMode="External"/><Relationship Id="rId19" Type="http://schemas.openxmlformats.org/officeDocument/2006/relationships/hyperlink" Target="https://www.oyez.org/cases/1968/492" TargetMode="External"/><Relationship Id="rId4" Type="http://schemas.openxmlformats.org/officeDocument/2006/relationships/footnotes" Target="footnotes.xml"/><Relationship Id="rId9" Type="http://schemas.openxmlformats.org/officeDocument/2006/relationships/hyperlink" Target="https://constitutioncenter.org/the-constitution/supreme-court-case-library/abrams-v-united-states" TargetMode="External"/><Relationship Id="rId14" Type="http://schemas.openxmlformats.org/officeDocument/2006/relationships/hyperlink" Target="https://www.oyez.org/cases/1900-1940/274us357"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Clear and Present Danger</vt:lpstr>
    </vt:vector>
  </TitlesOfParts>
  <Manager/>
  <Company/>
  <LinksUpToDate>false</LinksUpToDate>
  <CharactersWithSpaces>6400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and Present Danger</dc:title>
  <dc:subject/>
  <dc:creator>K20 Center</dc:creator>
  <cp:keywords/>
  <dc:description/>
  <cp:lastModifiedBy>Gracia, Ann M.</cp:lastModifiedBy>
  <cp:revision>42</cp:revision>
  <dcterms:created xsi:type="dcterms:W3CDTF">2023-07-17T13:55:00Z</dcterms:created>
  <dcterms:modified xsi:type="dcterms:W3CDTF">2023-08-10T16:37:00Z</dcterms:modified>
  <cp:category/>
</cp:coreProperties>
</file>