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F358B8A" w14:textId="77777777" w:rsidR="000B4DD3" w:rsidRPr="003228C8" w:rsidRDefault="003228C8">
      <w:pPr>
        <w:rPr>
          <w:sz w:val="24"/>
          <w:szCs w:val="24"/>
        </w:rPr>
        <w:bidi w:val="0"/>
      </w:pPr>
      <w:r>
        <w:rPr>
          <w:sz w:val="24"/>
          <w:szCs w:val="24"/>
          <w:lang w:val="es"/>
          <w:b w:val="0"/>
          <w:bCs w:val="0"/>
          <w:i w:val="0"/>
          <w:iCs w:val="0"/>
          <w:u w:val="none"/>
          <w:vertAlign w:val="baseline"/>
          <w:rtl w:val="0"/>
        </w:rPr>
        <w:t xml:space="preserve">Nombre_______________________________ Hora______________________</w:t>
      </w:r>
    </w:p>
    <w:p w14:paraId="4437277E" w14:textId="77777777" w:rsidR="003228C8" w:rsidRPr="003228C8" w:rsidRDefault="003228C8" w:rsidP="003228C8">
      <w:pPr>
        <w:jc w:val="center"/>
        <w:rPr>
          <w:b/>
          <w:sz w:val="24"/>
          <w:szCs w:val="24"/>
        </w:rPr>
        <w:bidi w:val="0"/>
      </w:pPr>
      <w:r>
        <w:rPr>
          <w:sz w:val="24"/>
          <w:szCs w:val="24"/>
          <w:lang w:val="es"/>
          <w:b w:val="1"/>
          <w:bCs w:val="1"/>
          <w:i w:val="0"/>
          <w:iCs w:val="0"/>
          <w:u w:val="none"/>
          <w:vertAlign w:val="baseline"/>
          <w:rtl w:val="0"/>
        </w:rPr>
        <w:t xml:space="preserve">¿Activismo judicial o moderación judicial?</w:t>
      </w:r>
    </w:p>
    <w:p w14:paraId="12F2D814" w14:textId="77777777" w:rsidR="003228C8" w:rsidRPr="003228C8" w:rsidRDefault="003228C8" w:rsidP="003228C8">
      <w:pPr>
        <w:rPr>
          <w:i/>
          <w:sz w:val="24"/>
          <w:szCs w:val="24"/>
        </w:rPr>
        <w:bidi w:val="0"/>
      </w:pPr>
      <w:r>
        <w:rPr>
          <w:sz w:val="24"/>
          <w:szCs w:val="24"/>
          <w:lang w:val="es"/>
          <w:b w:val="0"/>
          <w:bCs w:val="0"/>
          <w:i w:val="1"/>
          <w:iCs w:val="1"/>
          <w:u w:val="none"/>
          <w:vertAlign w:val="baseline"/>
          <w:rtl w:val="0"/>
        </w:rPr>
        <w:t xml:space="preserve">La Corte Suprema y los tribunales inferiores interpretan cómo se aplica la ley.  </w:t>
      </w:r>
      <w:r>
        <w:rPr>
          <w:sz w:val="24"/>
          <w:szCs w:val="24"/>
          <w:lang w:val="es"/>
          <w:b w:val="0"/>
          <w:bCs w:val="0"/>
          <w:i w:val="1"/>
          <w:iCs w:val="1"/>
          <w:u w:val="none"/>
          <w:vertAlign w:val="baseline"/>
          <w:rtl w:val="0"/>
        </w:rPr>
        <w:t xml:space="preserve">Determina si los casos que aparecen a continuación se inclinan más hacia el activismo judicial, una aplicación más liberal de la ley, o hacia la moderación judicial, una aplicación más conservadora de la ley.  </w:t>
      </w:r>
      <w:r>
        <w:rPr>
          <w:sz w:val="24"/>
          <w:szCs w:val="24"/>
          <w:lang w:val="es"/>
          <w:b w:val="0"/>
          <w:bCs w:val="0"/>
          <w:i w:val="1"/>
          <w:iCs w:val="1"/>
          <w:u w:val="none"/>
          <w:vertAlign w:val="baseline"/>
          <w:rtl w:val="0"/>
        </w:rPr>
        <w:t xml:space="preserve">Etiqueta en cada caso de qué aplicación de la ley se trata.</w:t>
      </w:r>
    </w:p>
    <w:p w14:paraId="09583FCD" w14:textId="77777777" w:rsidR="003228C8" w:rsidRDefault="003228C8" w:rsidP="003228C8">
      <w:pPr>
        <w:rPr>
          <w:sz w:val="24"/>
          <w:szCs w:val="24"/>
        </w:rPr>
      </w:pPr>
    </w:p>
    <w:p w14:paraId="1994485B" w14:textId="77777777" w:rsidR="003228C8" w:rsidRPr="003228C8" w:rsidRDefault="003228C8" w:rsidP="003228C8">
      <w:pPr>
        <w:rPr>
          <w:sz w:val="24"/>
          <w:szCs w:val="24"/>
        </w:rPr>
        <w:bidi w:val="0"/>
      </w:pPr>
      <w:r>
        <w:rPr>
          <w:sz w:val="24"/>
          <w:szCs w:val="24"/>
          <w:lang w:val="es"/>
          <w:b w:val="1"/>
          <w:bCs w:val="1"/>
          <w:i w:val="0"/>
          <w:iCs w:val="0"/>
          <w:u w:val="none"/>
          <w:vertAlign w:val="baseline"/>
          <w:rtl w:val="0"/>
        </w:rPr>
        <w:t xml:space="preserve">Caso de la Corte Suprema 1- Brown contra </w:t>
      </w:r>
      <w:r>
        <w:rPr>
          <w:sz w:val="24"/>
          <w:szCs w:val="24"/>
          <w:lang w:val="es"/>
          <w:b w:val="1"/>
          <w:bCs w:val="1"/>
          <w:i w:val="0"/>
          <w:iCs w:val="0"/>
          <w:u w:val="none"/>
          <w:vertAlign w:val="baseline"/>
          <w:rtl w:val="0"/>
        </w:rPr>
        <w:t xml:space="preserve">Consejo de Educación</w:t>
      </w:r>
      <w:r>
        <w:rPr>
          <w:sz w:val="24"/>
          <w:szCs w:val="24"/>
          <w:lang w:val="es"/>
          <w:b w:val="0"/>
          <w:bCs w:val="0"/>
          <w:i w:val="0"/>
          <w:iCs w:val="0"/>
          <w:u w:val="none"/>
          <w:vertAlign w:val="baseline"/>
          <w:rtl w:val="0"/>
        </w:rPr>
        <w:t xml:space="preserve"> En la década de 1950, las escuelas del sur de Estados Unidos seguían estando segregadas por razas, y los niños negros estaban confinados en escuelas que, en muchos casos, estaban lejos de sus hogares. Un grupo de 13 padres, con la ayuda de la Unión Estadounidense por las Libertades Civiles (ACLU por sus siglas en inglés), presentó una </w:t>
      </w:r>
      <w:hyperlink r:id="rId4" w:history="1"/>
      <w:r>
        <w:rPr>
          <w:sz w:val="24"/>
          <w:szCs w:val="24"/>
          <w:lang w:val="es"/>
          <w:b w:val="0"/>
          <w:bCs w:val="0"/>
          <w:i w:val="0"/>
          <w:iCs w:val="0"/>
          <w:u w:val="none"/>
          <w:vertAlign w:val="baseline"/>
          <w:rtl w:val="0"/>
        </w:rPr>
        <w:t xml:space="preserve"> demanda colectiva en nombre de sus 20 hijos,</w:t>
      </w:r>
      <w:hyperlink r:id="rId5" w:history="1"/>
      <w:r>
        <w:rPr>
          <w:sz w:val="24"/>
          <w:szCs w:val="24"/>
          <w:lang w:val="es"/>
          <w:b w:val="0"/>
          <w:bCs w:val="0"/>
          <w:i w:val="0"/>
          <w:iCs w:val="0"/>
          <w:u w:val="none"/>
          <w:vertAlign w:val="baseline"/>
          <w:rtl w:val="0"/>
        </w:rPr>
        <w:t xml:space="preserve"> pidiendo el fin de la segregación de las escuelas.</w:t>
      </w:r>
    </w:p>
    <w:p w14:paraId="68A89D54" w14:textId="77777777" w:rsidR="008E034E" w:rsidRDefault="003228C8" w:rsidP="003228C8">
      <w:pPr>
        <w:rPr>
          <w:sz w:val="24"/>
          <w:szCs w:val="24"/>
        </w:rPr>
        <w:bidi w:val="0"/>
      </w:pPr>
      <w:r>
        <w:rPr>
          <w:sz w:val="24"/>
          <w:szCs w:val="24"/>
          <w:lang w:val="es"/>
          <w:b w:val="0"/>
          <w:bCs w:val="0"/>
          <w:i w:val="0"/>
          <w:iCs w:val="0"/>
          <w:u w:val="none"/>
          <w:vertAlign w:val="baseline"/>
          <w:rtl w:val="0"/>
        </w:rPr>
        <w:t xml:space="preserve">La Corte Suprema de los Estados Unidos vio el caso de </w:t>
      </w:r>
      <w:r>
        <w:rPr>
          <w:sz w:val="24"/>
          <w:szCs w:val="24"/>
          <w:lang w:val="es"/>
          <w:b w:val="0"/>
          <w:bCs w:val="0"/>
          <w:i w:val="1"/>
          <w:iCs w:val="1"/>
          <w:u w:val="none"/>
          <w:vertAlign w:val="baseline"/>
          <w:rtl w:val="0"/>
        </w:rPr>
        <w:t xml:space="preserve">Brown contra Consejo de </w:t>
      </w:r>
      <w:hyperlink r:id="rId6" w:history="1">
        <w:r>
          <w:rPr>
            <w:rStyle w:val="Hyperlink"/>
            <w:color w:val="000000" w:themeColor="text1"/>
            <w:sz w:val="24"/>
            <w:szCs w:val="24"/>
            <w:lang w:val="es"/>
            <w:b w:val="0"/>
            <w:bCs w:val="0"/>
            <w:i w:val="1"/>
            <w:iCs w:val="1"/>
            <w:u w:val="none"/>
            <w:vertAlign w:val="baseline"/>
            <w:rtl w:val="0"/>
          </w:rPr>
          <w:t xml:space="preserve">Educación</w:t>
        </w:r>
      </w:hyperlink>
      <w:r>
        <w:rPr>
          <w:sz w:val="24"/>
          <w:szCs w:val="24"/>
          <w:lang w:val="es"/>
          <w:b w:val="0"/>
          <w:bCs w:val="0"/>
          <w:i w:val="0"/>
          <w:iCs w:val="0"/>
          <w:u w:val="none"/>
          <w:vertAlign w:val="baseline"/>
          <w:rtl w:val="0"/>
        </w:rPr>
        <w:t xml:space="preserve"> en 1954, después de que el tribunal estatal dictaminara que el distrito escolar había seguido la ley establecida previamente por la Corte Suprema en el caso de 1896 </w:t>
      </w:r>
      <w:r>
        <w:rPr>
          <w:sz w:val="24"/>
          <w:szCs w:val="24"/>
          <w:lang w:val="es"/>
          <w:b w:val="0"/>
          <w:bCs w:val="0"/>
          <w:i w:val="1"/>
          <w:iCs w:val="1"/>
          <w:u w:val="none"/>
          <w:vertAlign w:val="baseline"/>
          <w:rtl w:val="0"/>
        </w:rPr>
        <w:t xml:space="preserve">Plessy contra Ferguson</w:t>
      </w:r>
      <w:r>
        <w:rPr>
          <w:sz w:val="24"/>
          <w:szCs w:val="24"/>
          <w:lang w:val="es"/>
          <w:b w:val="0"/>
          <w:bCs w:val="0"/>
          <w:i w:val="0"/>
          <w:iCs w:val="0"/>
          <w:u w:val="none"/>
          <w:vertAlign w:val="baseline"/>
          <w:rtl w:val="0"/>
        </w:rPr>
        <w:t xml:space="preserve">.  </w:t>
      </w:r>
    </w:p>
    <w:p w14:paraId="27A88A4A" w14:textId="77777777" w:rsidR="003228C8" w:rsidRPr="003228C8" w:rsidRDefault="003228C8" w:rsidP="003228C8">
      <w:pPr>
        <w:rPr>
          <w:sz w:val="24"/>
          <w:szCs w:val="24"/>
        </w:rPr>
        <w:bidi w:val="0"/>
      </w:pPr>
      <w:r>
        <w:rPr>
          <w:sz w:val="24"/>
          <w:szCs w:val="24"/>
          <w:lang w:val="es"/>
          <w:b w:val="0"/>
          <w:bCs w:val="0"/>
          <w:i w:val="0"/>
          <w:iCs w:val="0"/>
          <w:u w:val="none"/>
          <w:vertAlign w:val="baseline"/>
          <w:rtl w:val="0"/>
        </w:rPr>
        <w:t xml:space="preserve">En el caso de 1896 </w:t>
      </w:r>
      <w:r>
        <w:rPr>
          <w:sz w:val="24"/>
          <w:szCs w:val="24"/>
          <w:lang w:val="es"/>
          <w:b w:val="0"/>
          <w:bCs w:val="0"/>
          <w:i w:val="1"/>
          <w:iCs w:val="1"/>
          <w:u w:val="none"/>
          <w:vertAlign w:val="baseline"/>
          <w:rtl w:val="0"/>
        </w:rPr>
        <w:t xml:space="preserve">Plessy contra Ferguson, </w:t>
      </w:r>
      <w:r>
        <w:rPr>
          <w:sz w:val="24"/>
          <w:szCs w:val="24"/>
          <w:lang w:val="es"/>
          <w:b w:val="0"/>
          <w:bCs w:val="0"/>
          <w:i w:val="0"/>
          <w:iCs w:val="0"/>
          <w:u w:val="none"/>
          <w:vertAlign w:val="baseline"/>
          <w:rtl w:val="0"/>
        </w:rPr>
        <w:t xml:space="preserve">la Corte Suprema había dictaminado que las instalaciones públicas debían mantener espacios "separados pero iguales" para blancos y negros. </w:t>
      </w:r>
      <w:r>
        <w:rPr>
          <w:sz w:val="24"/>
          <w:szCs w:val="24"/>
          <w:lang w:val="es"/>
          <w:b w:val="0"/>
          <w:bCs w:val="0"/>
          <w:i w:val="0"/>
          <w:iCs w:val="0"/>
          <w:u w:val="single"/>
          <w:vertAlign w:val="baseline"/>
          <w:rtl w:val="0"/>
        </w:rPr>
        <w:t xml:space="preserve">La Corte Suprema falló a favor de </w:t>
      </w:r>
      <w:r>
        <w:rPr>
          <w:sz w:val="24"/>
          <w:szCs w:val="24"/>
          <w:lang w:val="es"/>
          <w:b w:val="0"/>
          <w:bCs w:val="0"/>
          <w:i w:val="1"/>
          <w:iCs w:val="1"/>
          <w:u w:val="single"/>
          <w:vertAlign w:val="baseline"/>
          <w:rtl w:val="0"/>
        </w:rPr>
        <w:t xml:space="preserve">Brown contra Consejo de Educación </w:t>
      </w:r>
      <w:r>
        <w:rPr>
          <w:sz w:val="24"/>
          <w:szCs w:val="24"/>
          <w:lang w:val="es"/>
          <w:b w:val="0"/>
          <w:bCs w:val="0"/>
          <w:i w:val="0"/>
          <w:iCs w:val="0"/>
          <w:u w:val="single"/>
          <w:vertAlign w:val="baseline"/>
          <w:rtl w:val="0"/>
        </w:rPr>
        <w:t xml:space="preserve">y anuló la decisión anterior del tribunal.  </w:t>
      </w:r>
      <w:r>
        <w:rPr>
          <w:sz w:val="24"/>
          <w:szCs w:val="24"/>
          <w:lang w:val="es"/>
          <w:b w:val="0"/>
          <w:bCs w:val="0"/>
          <w:i w:val="0"/>
          <w:iCs w:val="0"/>
          <w:u w:val="none"/>
          <w:vertAlign w:val="baseline"/>
          <w:rtl w:val="0"/>
        </w:rPr>
        <w:t xml:space="preserve">El escrito de la Corte Suprema afirmaba que la igualdad de oportunidades de una educación de calidad debería estar al alcance de todos los niños.</w:t>
      </w:r>
    </w:p>
    <w:p w14:paraId="07CE0C82" w14:textId="77777777" w:rsidR="003228C8" w:rsidRPr="003228C8" w:rsidRDefault="003228C8" w:rsidP="003228C8">
      <w:pPr>
        <w:rPr>
          <w:sz w:val="24"/>
          <w:szCs w:val="24"/>
        </w:rPr>
      </w:pPr>
    </w:p>
    <w:p w14:paraId="06C27F9E" w14:textId="77777777" w:rsidR="003228C8" w:rsidRPr="003228C8" w:rsidRDefault="003228C8" w:rsidP="003228C8">
      <w:pPr>
        <w:rPr>
          <w:sz w:val="24"/>
          <w:szCs w:val="24"/>
        </w:rPr>
        <w:bidi w:val="0"/>
      </w:pPr>
      <w:r>
        <w:rPr>
          <w:sz w:val="24"/>
          <w:szCs w:val="24"/>
          <w:lang w:val="es"/>
          <w:b w:val="1"/>
          <w:bCs w:val="1"/>
          <w:i w:val="0"/>
          <w:iCs w:val="0"/>
          <w:u w:val="none"/>
          <w:vertAlign w:val="baseline"/>
          <w:rtl w:val="0"/>
        </w:rPr>
        <w:t xml:space="preserve">Caso de la Corte Suprema 2- Korematsu contra </w:t>
      </w:r>
      <w:r>
        <w:rPr>
          <w:sz w:val="24"/>
          <w:szCs w:val="24"/>
          <w:lang w:val="es"/>
          <w:b w:val="1"/>
          <w:bCs w:val="1"/>
          <w:i w:val="0"/>
          <w:iCs w:val="0"/>
          <w:u w:val="none"/>
          <w:vertAlign w:val="baseline"/>
          <w:rtl w:val="0"/>
        </w:rPr>
        <w:t xml:space="preserve">Estados</w:t>
      </w:r>
      <w:r>
        <w:rPr>
          <w:sz w:val="24"/>
          <w:szCs w:val="24"/>
          <w:lang w:val="es"/>
          <w:b w:val="0"/>
          <w:bCs w:val="0"/>
          <w:i w:val="0"/>
          <w:iCs w:val="0"/>
          <w:u w:val="none"/>
          <w:vertAlign w:val="baseline"/>
          <w:rtl w:val="0"/>
        </w:rPr>
        <w:t xml:space="preserve"> </w:t>
      </w:r>
      <w:r>
        <w:rPr>
          <w:sz w:val="24"/>
          <w:szCs w:val="24"/>
          <w:lang w:val="es"/>
          <w:b w:val="1"/>
          <w:bCs w:val="1"/>
          <w:i w:val="0"/>
          <w:iCs w:val="0"/>
          <w:u w:val="none"/>
          <w:vertAlign w:val="baseline"/>
          <w:rtl w:val="0"/>
        </w:rPr>
        <w:t xml:space="preserve">Unidos </w:t>
      </w:r>
      <w:r>
        <w:rPr>
          <w:sz w:val="24"/>
          <w:szCs w:val="24"/>
          <w:lang w:val="es"/>
          <w:b w:val="0"/>
          <w:bCs w:val="0"/>
          <w:i w:val="0"/>
          <w:iCs w:val="0"/>
          <w:u w:val="none"/>
          <w:vertAlign w:val="baseline"/>
          <w:rtl w:val="0"/>
        </w:rPr>
        <w:t xml:space="preserve">El 19 de febrero de 1942, dos meses después del ataque </w:t>
      </w:r>
      <w:r>
        <w:rPr>
          <w:color w:val="000000" w:themeColor="text1"/>
          <w:sz w:val="24"/>
          <w:szCs w:val="24"/>
          <w:lang w:val="es"/>
          <w:b w:val="0"/>
          <w:bCs w:val="0"/>
          <w:i w:val="0"/>
          <w:iCs w:val="0"/>
          <w:u w:val="none"/>
          <w:vertAlign w:val="baseline"/>
          <w:rtl w:val="0"/>
        </w:rPr>
        <w:t xml:space="preserve">a</w:t>
      </w:r>
      <w:r>
        <w:rPr>
          <w:sz w:val="24"/>
          <w:szCs w:val="24"/>
          <w:lang w:val="es"/>
          <w:b w:val="0"/>
          <w:bCs w:val="0"/>
          <w:i w:val="0"/>
          <w:iCs w:val="0"/>
          <w:u w:val="none"/>
          <w:vertAlign w:val="baseline"/>
          <w:rtl w:val="0"/>
        </w:rPr>
        <w:t xml:space="preserve"> Pearl Harbor</w:t>
      </w:r>
      <w:hyperlink r:id="rId7" w:history="1"/>
      <w:r>
        <w:rPr>
          <w:sz w:val="24"/>
          <w:szCs w:val="24"/>
          <w:lang w:val="es"/>
          <w:b w:val="0"/>
          <w:bCs w:val="0"/>
          <w:i w:val="0"/>
          <w:iCs w:val="0"/>
          <w:u w:val="none"/>
          <w:vertAlign w:val="baseline"/>
          <w:rtl w:val="0"/>
        </w:rPr>
        <w:t xml:space="preserve"> por los militares japoneses en Hawái, el presidente Franklin D. Roosevelt emitió la Orden Ejecutiva 9066, que permitía a su secretario de guerra y a los comandantes militares “establecer zonas militares en los lugares [reubicaciones] y de la extensión que él determine, de las que se puede excluir a cualquier persona o a todas las personas”. </w:t>
      </w:r>
    </w:p>
    <w:p w14:paraId="6EA68033" w14:textId="77777777" w:rsidR="003228C8" w:rsidRPr="003228C8" w:rsidRDefault="003228C8" w:rsidP="003228C8">
      <w:pPr>
        <w:rPr>
          <w:sz w:val="24"/>
          <w:szCs w:val="24"/>
        </w:rPr>
        <w:bidi w:val="0"/>
      </w:pPr>
      <w:r>
        <w:rPr>
          <w:sz w:val="24"/>
          <w:szCs w:val="24"/>
          <w:lang w:val="es"/>
          <w:b w:val="0"/>
          <w:bCs w:val="0"/>
          <w:i w:val="0"/>
          <w:iCs w:val="0"/>
          <w:u w:val="none"/>
          <w:vertAlign w:val="baseline"/>
          <w:rtl w:val="0"/>
        </w:rPr>
        <w:t xml:space="preserve">Muchos japoneses-estadounidenses que vivían en la costa oeste recibieron la orden de ir a campos de reubicación, dejando atrás sus hogares y posesiones.  Fred Korematsu se negó a obedecer la orden de guerra de abandonar su casa y presentarse en un campo de reubicación. Fue detenido y condenado. Tras perder en el Tribunal de Apelaciones, recurrió a la Corte Suprema de Estados Unidos, cuestionando la constitucionalidad de la orden de expulsión por ser ciudadano estadounidense.</w:t>
      </w:r>
    </w:p>
    <w:p w14:paraId="04912063" w14:textId="77777777" w:rsidR="003228C8" w:rsidRPr="003228C8" w:rsidRDefault="003228C8" w:rsidP="003228C8">
      <w:pPr>
        <w:rPr>
          <w:sz w:val="24"/>
          <w:szCs w:val="24"/>
        </w:rPr>
        <w:bidi w:val="0"/>
      </w:pPr>
      <w:r>
        <w:rPr>
          <w:sz w:val="24"/>
          <w:szCs w:val="24"/>
          <w:lang w:val="es"/>
          <w:b w:val="0"/>
          <w:bCs w:val="0"/>
          <w:i w:val="0"/>
          <w:iCs w:val="0"/>
          <w:u w:val="single"/>
          <w:vertAlign w:val="baseline"/>
          <w:rtl w:val="0"/>
        </w:rPr>
        <w:t xml:space="preserve">La Corte Suprema confirmó la orden de excluir a las personas de ascendencia japonesa de la zona de guerra de la costa oeste durante la Segunda Guerra Mundial.</w:t>
      </w:r>
      <w:r>
        <w:rPr>
          <w:sz w:val="24"/>
          <w:szCs w:val="24"/>
          <w:lang w:val="es"/>
          <w:b w:val="0"/>
          <w:bCs w:val="0"/>
          <w:i w:val="0"/>
          <w:iCs w:val="0"/>
          <w:u w:val="none"/>
          <w:vertAlign w:val="baseline"/>
          <w:rtl w:val="0"/>
        </w:rPr>
        <w:t xml:space="preserve">   Muchos permanecieron en campos de reubicación durante 3 años.</w:t>
      </w:r>
    </w:p>
    <w:p w14:paraId="4E94332E" w14:textId="77777777" w:rsidR="003228C8" w:rsidRPr="003228C8" w:rsidRDefault="003228C8" w:rsidP="003228C8">
      <w:pPr>
        <w:rPr>
          <w:sz w:val="24"/>
          <w:szCs w:val="24"/>
        </w:rPr>
      </w:pPr>
    </w:p>
    <w:sectPr w:rsidR="003228C8" w:rsidRPr="003228C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auto"/>
    <w:pitch w:val="variable"/>
    <w:sig w:usb0="E00002FF" w:usb1="4000ACFF" w:usb2="00000001" w:usb3="00000000" w:csb0="0000019F" w:csb1="00000000"/>
  </w:font>
  <w:font w:name="Times New Roman">
    <w:panose1 w:val="02020603050405020304"/>
    <w:charset w:val="00"/>
    <w:family w:val="auto"/>
    <w:pitch w:val="variable"/>
    <w:sig w:usb0="E0002AE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Calibri Light">
    <w:panose1 w:val="020F0302020204030204"/>
    <w:charset w:val="00"/>
    <w:family w:val="auto"/>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228C8"/>
    <w:rsid w:val="000B4DD3"/>
    <w:rsid w:val="003228C8"/>
    <w:rsid w:val="008E034E"/>
    <w:rsid w:val="00ED49A2"/>
  </w:rsids>
  <m:mathPr>
    <m:mathFont m:val="Cambria Math"/>
    <m:brkBin m:val="before"/>
    <m:brkBinSub m:val="--"/>
    <m:smallFrac m:val="0"/>
    <m:dispDef/>
    <m:lMargin m:val="0"/>
    <m:rMargin m:val="0"/>
    <m:defJc m:val="centerGroup"/>
    <m:wrapIndent m:val="1440"/>
    <m:intLim m:val="subSup"/>
    <m:naryLim m:val="undOvr"/>
  </m:mathPr>
  <w:themeFontLang w:val="en-US" w:eastAsia="x-none" w:bidi="x-non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D24963"/>
  <w15:chartTrackingRefBased/>
  <w15:docId w15:val="{DC298352-FC8F-4C85-AC6B-6491FC85FD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3228C8"/>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95572063">
      <w:bodyDiv w:val="1"/>
      <w:marLeft w:val="0"/>
      <w:marRight w:val="0"/>
      <w:marTop w:val="0"/>
      <w:marBottom w:val="0"/>
      <w:divBdr>
        <w:top w:val="none" w:sz="0" w:space="0" w:color="auto"/>
        <w:left w:val="none" w:sz="0" w:space="0" w:color="auto"/>
        <w:bottom w:val="none" w:sz="0" w:space="0" w:color="auto"/>
        <w:right w:val="none" w:sz="0" w:space="0" w:color="auto"/>
      </w:divBdr>
    </w:div>
    <w:div w:id="16312834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webSettings" Target="webSettings.xml" /><Relationship Id="rId4" Type="http://schemas.openxmlformats.org/officeDocument/2006/relationships/hyperlink" TargetMode="External" Target="https://legaldictionary.net/class-action-lawsuit/" /><Relationship Id="rId5" Type="http://schemas.openxmlformats.org/officeDocument/2006/relationships/hyperlink" TargetMode="External" Target="https://legaldictionary.net/class-action-lawsuit/" /><Relationship Id="rId6" Type="http://schemas.openxmlformats.org/officeDocument/2006/relationships/hyperlink" TargetMode="External" Target="http://www.pbs.org/wnet/supremecourt/rights/landmark_brown.html" /><Relationship Id="rId7" Type="http://schemas.openxmlformats.org/officeDocument/2006/relationships/hyperlink" TargetMode="External" Target="https://www.britannica.com/event/Pearl-Harbor-attack" /><Relationship Id="rId8" Type="http://schemas.openxmlformats.org/officeDocument/2006/relationships/fontTable" Target="fontTable.xml" /><Relationship Id="rId9" Type="http://schemas.openxmlformats.org/officeDocument/2006/relationships/theme" Target="theme/theme1.xml" /><Relationship Id="rId1" Type="http://schemas.openxmlformats.org/officeDocument/2006/relationships/styles" Target="styles.xml" /><Relationship Id="rId2" Type="http://schemas.openxmlformats.org/officeDocument/2006/relationships/settings" Target="setting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411</Words>
  <Characters>2348</Characters>
  <Application>Microsoft Macintosh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2754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McHale, Susan</dc:creator>
  <cp:keywords/>
  <dc:description/>
  <cp:lastModifiedBy>Sublett, Kristen A.</cp:lastModifiedBy>
  <cp:revision>2</cp:revision>
  <dcterms:created xsi:type="dcterms:W3CDTF">2017-03-21T15:16:00Z</dcterms:created>
  <dcterms:modified xsi:type="dcterms:W3CDTF">2017-03-21T15:16:00Z</dcterms:modified>
</cp:coreProperties>
</file>