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8693" w14:textId="77777777" w:rsidR="000734DF" w:rsidRPr="00776E88" w:rsidRDefault="000734DF">
      <w:pPr>
        <w:pStyle w:val="BodyA"/>
        <w:jc w:val="center"/>
        <w:rPr>
          <w:rFonts w:ascii="American Typewriter" w:hAnsi="American Typewriter"/>
          <w:sz w:val="16"/>
          <w:szCs w:val="16"/>
        </w:rPr>
      </w:pPr>
    </w:p>
    <w:p w14:paraId="08524529" w14:textId="77777777" w:rsidR="000734DF" w:rsidRDefault="000734DF" w:rsidP="000734DF">
      <w:pPr>
        <w:pStyle w:val="BodyA"/>
        <w:rPr>
          <w:rFonts w:ascii="American Typewriter" w:hAnsi="American Typewriter"/>
          <w:sz w:val="100"/>
          <w:szCs w:val="100"/>
        </w:rPr>
      </w:pPr>
    </w:p>
    <w:p w14:paraId="798D4D6F" w14:textId="33414E4F" w:rsidR="004A7757" w:rsidRDefault="000734DF" w:rsidP="000734DF">
      <w:pPr>
        <w:pStyle w:val="BodyA"/>
        <w:jc w:val="center"/>
        <w:rPr>
          <w:rFonts w:asciiTheme="majorHAnsi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hAnsiTheme="majorHAnsi" w:cstheme="majorHAnsi"/>
          <w:color w:val="910D28" w:themeColor="accent5"/>
          <w:sz w:val="226"/>
          <w:szCs w:val="226"/>
        </w:rPr>
        <w:t>Balance</w:t>
      </w:r>
    </w:p>
    <w:p w14:paraId="008950C9" w14:textId="5A6F711E" w:rsidR="000734DF" w:rsidRPr="000734DF" w:rsidRDefault="000734DF" w:rsidP="000734DF">
      <w:pPr>
        <w:pStyle w:val="BodyA"/>
        <w:jc w:val="center"/>
        <w:rPr>
          <w:rFonts w:asciiTheme="majorHAnsi" w:hAnsiTheme="majorHAnsi" w:cstheme="majorHAnsi"/>
          <w:sz w:val="96"/>
          <w:szCs w:val="96"/>
        </w:rPr>
      </w:pPr>
      <w:r w:rsidRPr="000734DF">
        <w:rPr>
          <w:rFonts w:asciiTheme="majorHAnsi" w:hAnsiTheme="majorHAnsi" w:cstheme="majorHAnsi"/>
          <w:sz w:val="96"/>
          <w:szCs w:val="96"/>
        </w:rPr>
        <w:t>Symmetry or visual weight in the composition of a piece of art</w:t>
      </w:r>
    </w:p>
    <w:p w14:paraId="6EABE7C4" w14:textId="68BE0104" w:rsidR="004A7757" w:rsidRPr="00776E88" w:rsidRDefault="004A7757" w:rsidP="000734DF">
      <w:pPr>
        <w:pStyle w:val="BodyA"/>
        <w:rPr>
          <w:rFonts w:asciiTheme="majorHAnsi" w:eastAsia="American Typewriter" w:hAnsiTheme="majorHAnsi" w:cstheme="majorHAnsi"/>
          <w:sz w:val="144"/>
          <w:szCs w:val="144"/>
        </w:rPr>
      </w:pPr>
    </w:p>
    <w:p w14:paraId="34A9B244" w14:textId="77777777" w:rsidR="00776E88" w:rsidRPr="00776E88" w:rsidRDefault="00776E88" w:rsidP="000734DF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144"/>
          <w:szCs w:val="144"/>
        </w:rPr>
      </w:pPr>
    </w:p>
    <w:p w14:paraId="063BA081" w14:textId="75F0DF0B" w:rsidR="000734DF" w:rsidRDefault="000734DF" w:rsidP="000734DF">
      <w:pPr>
        <w:pStyle w:val="BodyA"/>
        <w:jc w:val="center"/>
        <w:rPr>
          <w:rFonts w:ascii="Calibri" w:eastAsia="American Typewriter" w:hAnsi="Calibri" w:cs="Calibri"/>
          <w:color w:val="910D28" w:themeColor="accent1"/>
          <w:sz w:val="226"/>
          <w:szCs w:val="226"/>
        </w:rPr>
      </w:pPr>
      <w:r>
        <w:rPr>
          <w:rFonts w:ascii="Calibri" w:eastAsia="American Typewriter" w:hAnsi="Calibri" w:cs="Calibri"/>
          <w:color w:val="910D28" w:themeColor="accent1"/>
          <w:sz w:val="226"/>
          <w:szCs w:val="226"/>
        </w:rPr>
        <w:t>Movement</w:t>
      </w:r>
    </w:p>
    <w:p w14:paraId="1283ADED" w14:textId="38478C9C" w:rsidR="000734DF" w:rsidRDefault="000734DF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  <w:r>
        <w:rPr>
          <w:rFonts w:ascii="Calibri" w:eastAsia="American Typewriter" w:hAnsi="Calibri" w:cs="Calibri"/>
          <w:sz w:val="96"/>
          <w:szCs w:val="96"/>
        </w:rPr>
        <w:t xml:space="preserve">Using line, shape, and form to create the illusion of </w:t>
      </w:r>
      <w:proofErr w:type="gramStart"/>
      <w:r>
        <w:rPr>
          <w:rFonts w:ascii="Calibri" w:eastAsia="American Typewriter" w:hAnsi="Calibri" w:cs="Calibri"/>
          <w:sz w:val="96"/>
          <w:szCs w:val="96"/>
        </w:rPr>
        <w:t>motion</w:t>
      </w:r>
      <w:proofErr w:type="gramEnd"/>
    </w:p>
    <w:p w14:paraId="18C94E1A" w14:textId="77777777" w:rsidR="00776E88" w:rsidRDefault="00776E88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</w:p>
    <w:p w14:paraId="2EFB336E" w14:textId="77777777" w:rsidR="00776E88" w:rsidRPr="000734DF" w:rsidRDefault="00776E88" w:rsidP="000734DF">
      <w:pPr>
        <w:pStyle w:val="BodyA"/>
        <w:jc w:val="center"/>
        <w:rPr>
          <w:rFonts w:ascii="Calibri" w:eastAsia="American Typewriter" w:hAnsi="Calibri" w:cs="Calibri"/>
          <w:sz w:val="96"/>
          <w:szCs w:val="96"/>
        </w:rPr>
      </w:pPr>
    </w:p>
    <w:p w14:paraId="77EC7D90" w14:textId="16BC7D4E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 w:rsidRPr="000734DF"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lastRenderedPageBreak/>
        <w:t>Emphasis/</w:t>
      </w:r>
    </w:p>
    <w:p w14:paraId="57FB2DFB" w14:textId="46E910EC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 w:rsidRPr="000734DF"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Focal Point</w:t>
      </w:r>
    </w:p>
    <w:p w14:paraId="6ED98D55" w14:textId="7F3C24E1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Elements that guide the viewer’s attention through a piece to a specific point in the work</w:t>
      </w:r>
    </w:p>
    <w:p w14:paraId="5F3F079A" w14:textId="77777777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1C804AE7" w14:textId="2165F399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Contrast</w:t>
      </w:r>
    </w:p>
    <w:p w14:paraId="258CBEC0" w14:textId="10EA606A" w:rsidR="000734DF" w:rsidRDefault="000734DF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Difference in theme, imagery, and color to strengthen the other principles of the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piece</w:t>
      </w:r>
      <w:proofErr w:type="gramEnd"/>
    </w:p>
    <w:p w14:paraId="5109B2FE" w14:textId="77777777" w:rsid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</w:p>
    <w:p w14:paraId="22D16885" w14:textId="77777777" w:rsid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</w:p>
    <w:p w14:paraId="57A550D4" w14:textId="77777777" w:rsidR="00776E88" w:rsidRPr="00776E88" w:rsidRDefault="00776E88" w:rsidP="00776E88">
      <w:pPr>
        <w:pStyle w:val="BodyA"/>
        <w:jc w:val="center"/>
        <w:rPr>
          <w:rFonts w:asciiTheme="majorHAnsi" w:eastAsia="American Typewriter" w:hAnsiTheme="majorHAnsi" w:cstheme="majorHAnsi"/>
          <w:sz w:val="72"/>
          <w:szCs w:val="72"/>
        </w:rPr>
      </w:pPr>
    </w:p>
    <w:p w14:paraId="2A542799" w14:textId="03B0828B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Pattern</w:t>
      </w:r>
    </w:p>
    <w:p w14:paraId="4C80E514" w14:textId="24B98789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Systematic and repetitive use of the same motif or design</w:t>
      </w:r>
    </w:p>
    <w:p w14:paraId="228F155B" w14:textId="77777777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80"/>
          <w:szCs w:val="180"/>
        </w:rPr>
      </w:pPr>
    </w:p>
    <w:p w14:paraId="70A589B4" w14:textId="77777777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60"/>
          <w:szCs w:val="160"/>
        </w:rPr>
      </w:pPr>
    </w:p>
    <w:p w14:paraId="2281565D" w14:textId="09867821" w:rsidR="000734DF" w:rsidRDefault="000734DF" w:rsidP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Rhythm</w:t>
      </w:r>
    </w:p>
    <w:p w14:paraId="116276B5" w14:textId="0AA7AEB2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>Like elements, shape, colors, or patterns with intentional subtle variations</w:t>
      </w:r>
    </w:p>
    <w:p w14:paraId="42B39CF6" w14:textId="77777777" w:rsidR="000734DF" w:rsidRPr="00776E88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38AB2F02" w14:textId="79952FBB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Variety</w:t>
      </w:r>
    </w:p>
    <w:p w14:paraId="3C27D4A6" w14:textId="01C9B7C6" w:rsidR="000734DF" w:rsidRPr="000734DF" w:rsidRDefault="000734DF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Using compositional elements to create tension and dissonance in a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work</w:t>
      </w:r>
      <w:proofErr w:type="gramEnd"/>
    </w:p>
    <w:p w14:paraId="615D1567" w14:textId="77777777" w:rsidR="000734DF" w:rsidRPr="00776E88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144"/>
          <w:szCs w:val="144"/>
        </w:rPr>
      </w:pPr>
    </w:p>
    <w:p w14:paraId="003F0FD2" w14:textId="6C186675" w:rsidR="000734DF" w:rsidRDefault="000734DF">
      <w:pPr>
        <w:pStyle w:val="BodyA"/>
        <w:jc w:val="center"/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</w:pPr>
      <w:r>
        <w:rPr>
          <w:rFonts w:asciiTheme="majorHAnsi" w:eastAsia="American Typewriter" w:hAnsiTheme="majorHAnsi" w:cstheme="majorHAnsi"/>
          <w:color w:val="910D28" w:themeColor="accent5"/>
          <w:sz w:val="226"/>
          <w:szCs w:val="226"/>
        </w:rPr>
        <w:t>Unity</w:t>
      </w:r>
    </w:p>
    <w:p w14:paraId="079519A2" w14:textId="00F71179" w:rsidR="00776E88" w:rsidRPr="00776E88" w:rsidRDefault="00776E88">
      <w:pPr>
        <w:pStyle w:val="BodyA"/>
        <w:jc w:val="center"/>
        <w:rPr>
          <w:rFonts w:asciiTheme="majorHAnsi" w:eastAsia="American Typewriter" w:hAnsiTheme="majorHAnsi" w:cstheme="majorHAnsi"/>
          <w:sz w:val="96"/>
          <w:szCs w:val="96"/>
        </w:rPr>
      </w:pPr>
      <w:r>
        <w:rPr>
          <w:rFonts w:asciiTheme="majorHAnsi" w:eastAsia="American Typewriter" w:hAnsiTheme="majorHAnsi" w:cstheme="majorHAnsi"/>
          <w:sz w:val="96"/>
          <w:szCs w:val="96"/>
        </w:rPr>
        <w:t xml:space="preserve">Using compositional elements to create harmony and wholeness to a </w:t>
      </w:r>
      <w:proofErr w:type="gramStart"/>
      <w:r>
        <w:rPr>
          <w:rFonts w:asciiTheme="majorHAnsi" w:eastAsia="American Typewriter" w:hAnsiTheme="majorHAnsi" w:cstheme="majorHAnsi"/>
          <w:sz w:val="96"/>
          <w:szCs w:val="96"/>
        </w:rPr>
        <w:t>work</w:t>
      </w:r>
      <w:proofErr w:type="gramEnd"/>
    </w:p>
    <w:sectPr w:rsidR="00776E88" w:rsidRPr="00776E88">
      <w:footerReference w:type="default" r:id="rId6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E434" w14:textId="77777777" w:rsidR="00C46C67" w:rsidRDefault="00C46C67">
      <w:r>
        <w:separator/>
      </w:r>
    </w:p>
  </w:endnote>
  <w:endnote w:type="continuationSeparator" w:id="0">
    <w:p w14:paraId="10F36518" w14:textId="77777777" w:rsidR="00C46C67" w:rsidRDefault="00C4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830A" w14:textId="517AA961" w:rsidR="00E24393" w:rsidRDefault="002973E7">
    <w:pPr>
      <w:pStyle w:val="HeaderFooter"/>
    </w:pPr>
    <w:r w:rsidRPr="004C5B5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84405" wp14:editId="0D127E6E">
              <wp:simplePos x="0" y="0"/>
              <wp:positionH relativeFrom="column">
                <wp:posOffset>4222115</wp:posOffset>
              </wp:positionH>
              <wp:positionV relativeFrom="paragraph">
                <wp:posOffset>-30683</wp:posOffset>
              </wp:positionV>
              <wp:extent cx="4000500" cy="19726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97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BA169" w14:textId="69C0D7F6" w:rsidR="004C5B5B" w:rsidRDefault="002973E7" w:rsidP="002973E7">
                          <w:pPr>
                            <w:jc w:val="right"/>
                          </w:pPr>
                          <w:r w:rsidRPr="002973E7">
                            <w:rPr>
                              <w:rFonts w:ascii="Calibri" w:hAnsi="Calibri"/>
                              <w:b/>
                              <w:color w:val="3E5C61" w:themeColor="text1"/>
                            </w:rPr>
                            <w:t>ESCHER’S TERRIFIC TRANSFORMATIONS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844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.45pt;margin-top:-2.4pt;width:315pt;height:1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" filled="f" stroked="f">
              <v:textbox>
                <w:txbxContent>
                  <w:p w14:paraId="6D1BA169" w14:textId="69C0D7F6" w:rsidR="004C5B5B" w:rsidRDefault="002973E7" w:rsidP="002973E7">
                    <w:pPr>
                      <w:jc w:val="right"/>
                    </w:pPr>
                    <w:r w:rsidRPr="002973E7">
                      <w:rPr>
                        <w:rFonts w:ascii="Calibri" w:hAnsi="Calibri"/>
                        <w:b/>
                        <w:color w:val="3E5C61" w:themeColor="text1"/>
                      </w:rPr>
                      <w:t>ESCHER’S TERRIFIC TRANSFORMATIONS</w:t>
                    </w:r>
                  </w:p>
                </w:txbxContent>
              </v:textbox>
            </v:shape>
          </w:pict>
        </mc:Fallback>
      </mc:AlternateContent>
    </w:r>
    <w:r w:rsidR="004C5B5B" w:rsidRPr="004C5B5B">
      <w:rPr>
        <w:noProof/>
      </w:rPr>
      <w:drawing>
        <wp:anchor distT="0" distB="0" distL="114300" distR="114300" simplePos="0" relativeHeight="251659264" behindDoc="1" locked="0" layoutInCell="1" allowOverlap="1" wp14:anchorId="52F8266C" wp14:editId="3DAEF1AC">
          <wp:simplePos x="0" y="0"/>
          <wp:positionH relativeFrom="margin">
            <wp:posOffset>4166235</wp:posOffset>
          </wp:positionH>
          <wp:positionV relativeFrom="paragraph">
            <wp:posOffset>45720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6846" w14:textId="77777777" w:rsidR="00C46C67" w:rsidRDefault="00C46C67">
      <w:r>
        <w:separator/>
      </w:r>
    </w:p>
  </w:footnote>
  <w:footnote w:type="continuationSeparator" w:id="0">
    <w:p w14:paraId="2F111B01" w14:textId="77777777" w:rsidR="00C46C67" w:rsidRDefault="00C4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4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93"/>
    <w:rsid w:val="000734DF"/>
    <w:rsid w:val="00234513"/>
    <w:rsid w:val="00267697"/>
    <w:rsid w:val="002973E7"/>
    <w:rsid w:val="004A1EEB"/>
    <w:rsid w:val="004A7757"/>
    <w:rsid w:val="004C5B5B"/>
    <w:rsid w:val="00776498"/>
    <w:rsid w:val="00776E88"/>
    <w:rsid w:val="007B0784"/>
    <w:rsid w:val="007B38E9"/>
    <w:rsid w:val="00873C0C"/>
    <w:rsid w:val="00B333CD"/>
    <w:rsid w:val="00C46C67"/>
    <w:rsid w:val="00C84A00"/>
    <w:rsid w:val="00D11E7D"/>
    <w:rsid w:val="00DE6CF9"/>
    <w:rsid w:val="00E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E1E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B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B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Diamonds, Not Just a Girl's Best Friend</vt:lpstr>
    </vt:vector>
  </TitlesOfParts>
  <Manager/>
  <Company/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Transformations</dc:title>
  <dc:subject/>
  <dc:creator>K20 Center</dc:creator>
  <cp:keywords/>
  <dc:description/>
  <cp:lastModifiedBy>Shogren, Caitlin E.</cp:lastModifiedBy>
  <cp:revision>3</cp:revision>
  <dcterms:created xsi:type="dcterms:W3CDTF">2023-08-01T14:02:00Z</dcterms:created>
  <dcterms:modified xsi:type="dcterms:W3CDTF">2023-08-14T15:32:00Z</dcterms:modified>
  <cp:category/>
</cp:coreProperties>
</file>