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4940F5" w14:textId="4FFF478A" w:rsidR="00962C65" w:rsidRPr="006D2C3B" w:rsidRDefault="00113C17">
      <w:pPr>
        <w:pStyle w:val="Title"/>
        <w:rPr>
          <w:b w:val="0"/>
          <w:smallCaps w:val="0"/>
          <w:color w:val="000000"/>
          <w:sz w:val="24"/>
          <w:szCs w:val="24"/>
          <w:lang w:val="es-ES_tradnl"/>
        </w:rPr>
      </w:pPr>
      <w:r w:rsidRPr="006D2C3B">
        <w:rPr>
          <w:lang w:val="es-ES_tradnl"/>
        </w:rPr>
        <w:t xml:space="preserve">MIRANDA </w:t>
      </w:r>
      <w:r w:rsidR="006D2C3B" w:rsidRPr="006D2C3B">
        <w:rPr>
          <w:lang w:val="es-ES_tradnl"/>
        </w:rPr>
        <w:t>CONTRA</w:t>
      </w:r>
      <w:r w:rsidRPr="006D2C3B">
        <w:rPr>
          <w:lang w:val="es-ES_tradnl"/>
        </w:rPr>
        <w:t xml:space="preserve"> ARIZONA, </w:t>
      </w:r>
      <w:r w:rsidR="006D2C3B" w:rsidRPr="006D2C3B">
        <w:rPr>
          <w:lang w:val="es-ES_tradnl"/>
        </w:rPr>
        <w:t xml:space="preserve">CONTROVERSIA </w:t>
      </w:r>
      <w:r w:rsidRPr="006D2C3B">
        <w:rPr>
          <w:lang w:val="es-ES_tradnl"/>
        </w:rPr>
        <w:t>CONSTRUCTIV</w:t>
      </w:r>
      <w:r w:rsidR="006D2C3B" w:rsidRPr="006D2C3B">
        <w:rPr>
          <w:lang w:val="es-ES_tradnl"/>
        </w:rPr>
        <w:t>A</w:t>
      </w:r>
    </w:p>
    <w:tbl>
      <w:tblPr>
        <w:tblStyle w:val="a"/>
        <w:tblW w:w="942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87"/>
        <w:gridCol w:w="4733"/>
      </w:tblGrid>
      <w:tr w:rsidR="00962C65" w:rsidRPr="006D2C3B" w14:paraId="5E4940F7" w14:textId="77777777" w:rsidTr="00084D5B">
        <w:trPr>
          <w:trHeight w:val="1005"/>
        </w:trPr>
        <w:tc>
          <w:tcPr>
            <w:tcW w:w="9417" w:type="dxa"/>
            <w:gridSpan w:val="2"/>
          </w:tcPr>
          <w:p w14:paraId="5E4940F6" w14:textId="662A6DDE" w:rsidR="00962C65" w:rsidRPr="009E78E0" w:rsidRDefault="0065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E5C61"/>
                <w:sz w:val="28"/>
                <w:szCs w:val="28"/>
                <w:lang w:val="es-ES_tradnl"/>
              </w:rPr>
            </w:pPr>
            <w:r w:rsidRPr="009E78E0">
              <w:rPr>
                <w:b/>
                <w:color w:val="910D28"/>
                <w:sz w:val="28"/>
                <w:szCs w:val="28"/>
                <w:lang w:val="es-ES_tradnl"/>
              </w:rPr>
              <w:t>E</w:t>
            </w:r>
            <w:r w:rsidR="00113C17" w:rsidRPr="009E78E0">
              <w:rPr>
                <w:b/>
                <w:color w:val="910D28"/>
                <w:sz w:val="28"/>
                <w:szCs w:val="28"/>
                <w:lang w:val="es-ES_tradnl"/>
              </w:rPr>
              <w:t xml:space="preserve">n 2013, </w:t>
            </w:r>
            <w:r w:rsidR="00615F26" w:rsidRPr="009E78E0">
              <w:rPr>
                <w:b/>
                <w:color w:val="910D28"/>
                <w:sz w:val="28"/>
                <w:szCs w:val="28"/>
                <w:lang w:val="es-ES_tradnl"/>
              </w:rPr>
              <w:t xml:space="preserve">oficiales de </w:t>
            </w:r>
            <w:r w:rsidR="00113C17" w:rsidRPr="009E78E0">
              <w:rPr>
                <w:b/>
                <w:color w:val="910D28"/>
                <w:sz w:val="28"/>
                <w:szCs w:val="28"/>
                <w:lang w:val="es-ES_tradnl"/>
              </w:rPr>
              <w:t>polic</w:t>
            </w:r>
            <w:r w:rsidR="00615F26" w:rsidRPr="009E78E0">
              <w:rPr>
                <w:b/>
                <w:color w:val="910D28"/>
                <w:sz w:val="28"/>
                <w:szCs w:val="28"/>
                <w:lang w:val="es-ES_tradnl"/>
              </w:rPr>
              <w:t xml:space="preserve">ía </w:t>
            </w:r>
            <w:r w:rsidR="00836626" w:rsidRPr="009E78E0">
              <w:rPr>
                <w:b/>
                <w:color w:val="910D28"/>
                <w:sz w:val="28"/>
                <w:szCs w:val="28"/>
                <w:lang w:val="es-ES_tradnl"/>
              </w:rPr>
              <w:t xml:space="preserve">no informaron inmediatamente al sospechoso del atentado del maratón de Boston, </w:t>
            </w:r>
            <w:r w:rsidR="00113C17" w:rsidRPr="009E78E0">
              <w:rPr>
                <w:b/>
                <w:color w:val="910D28"/>
                <w:sz w:val="28"/>
                <w:szCs w:val="28"/>
                <w:lang w:val="es-ES_tradnl"/>
              </w:rPr>
              <w:t>Dzhokar Tsarnaev</w:t>
            </w:r>
            <w:r w:rsidR="00836626" w:rsidRPr="009E78E0">
              <w:rPr>
                <w:b/>
                <w:color w:val="910D28"/>
                <w:sz w:val="28"/>
                <w:szCs w:val="28"/>
                <w:lang w:val="es-ES_tradnl"/>
              </w:rPr>
              <w:t>,</w:t>
            </w:r>
            <w:r w:rsidR="00113C17" w:rsidRPr="009E78E0">
              <w:rPr>
                <w:b/>
                <w:color w:val="910D28"/>
                <w:sz w:val="28"/>
                <w:szCs w:val="28"/>
                <w:lang w:val="es-ES_tradnl"/>
              </w:rPr>
              <w:t xml:space="preserve"> </w:t>
            </w:r>
            <w:r w:rsidR="00836626" w:rsidRPr="009E78E0">
              <w:rPr>
                <w:b/>
                <w:color w:val="910D28"/>
                <w:sz w:val="28"/>
                <w:szCs w:val="28"/>
                <w:lang w:val="es-ES_tradnl"/>
              </w:rPr>
              <w:t xml:space="preserve">de sus derechos Miranda </w:t>
            </w:r>
            <w:r w:rsidR="00173EA7" w:rsidRPr="009E78E0">
              <w:rPr>
                <w:b/>
                <w:color w:val="910D28"/>
                <w:sz w:val="28"/>
                <w:szCs w:val="28"/>
                <w:lang w:val="es-ES_tradnl"/>
              </w:rPr>
              <w:t>tras ser detenido</w:t>
            </w:r>
            <w:r w:rsidR="00113C17" w:rsidRPr="009E78E0">
              <w:rPr>
                <w:b/>
                <w:color w:val="910D28"/>
                <w:sz w:val="28"/>
                <w:szCs w:val="28"/>
                <w:lang w:val="es-ES_tradnl"/>
              </w:rPr>
              <w:t xml:space="preserve">. </w:t>
            </w:r>
            <w:r w:rsidR="00B77414" w:rsidRPr="009E78E0">
              <w:rPr>
                <w:b/>
                <w:color w:val="910D28"/>
                <w:sz w:val="28"/>
                <w:szCs w:val="28"/>
                <w:lang w:val="es-ES_tradnl"/>
              </w:rPr>
              <w:t>La policía puede omitir la lectura de la advertencia Miranda a los sospechosos en casos relacionados con el terrorismo</w:t>
            </w:r>
            <w:r w:rsidR="00113C17" w:rsidRPr="009E78E0">
              <w:rPr>
                <w:b/>
                <w:color w:val="910D28"/>
                <w:sz w:val="28"/>
                <w:szCs w:val="28"/>
                <w:lang w:val="es-ES_tradnl"/>
              </w:rPr>
              <w:t xml:space="preserve">. </w:t>
            </w:r>
            <w:r w:rsidR="00B77414" w:rsidRPr="009E78E0">
              <w:rPr>
                <w:b/>
                <w:color w:val="910D28"/>
                <w:sz w:val="28"/>
                <w:szCs w:val="28"/>
                <w:lang w:val="es-ES_tradnl"/>
              </w:rPr>
              <w:t>¿E</w:t>
            </w:r>
            <w:r w:rsidR="00113C17" w:rsidRPr="009E78E0">
              <w:rPr>
                <w:b/>
                <w:color w:val="910D28"/>
                <w:sz w:val="28"/>
                <w:szCs w:val="28"/>
                <w:lang w:val="es-ES_tradnl"/>
              </w:rPr>
              <w:t xml:space="preserve">s </w:t>
            </w:r>
            <w:r w:rsidR="00B77414" w:rsidRPr="009E78E0">
              <w:rPr>
                <w:b/>
                <w:color w:val="910D28"/>
                <w:sz w:val="28"/>
                <w:szCs w:val="28"/>
                <w:lang w:val="es-ES_tradnl"/>
              </w:rPr>
              <w:t>esto justo</w:t>
            </w:r>
            <w:r w:rsidR="00113C17" w:rsidRPr="009E78E0">
              <w:rPr>
                <w:b/>
                <w:color w:val="910D28"/>
                <w:sz w:val="28"/>
                <w:szCs w:val="28"/>
                <w:lang w:val="es-ES_tradnl"/>
              </w:rPr>
              <w:t>?</w:t>
            </w:r>
          </w:p>
        </w:tc>
      </w:tr>
      <w:tr w:rsidR="00962C65" w:rsidRPr="006D2C3B" w14:paraId="5E4940FA" w14:textId="77777777" w:rsidTr="00084D5B">
        <w:trPr>
          <w:trHeight w:val="5535"/>
        </w:trPr>
        <w:tc>
          <w:tcPr>
            <w:tcW w:w="4686" w:type="dxa"/>
          </w:tcPr>
          <w:p w14:paraId="5E4940F8" w14:textId="574E24B3" w:rsidR="00962C65" w:rsidRPr="006D2C3B" w:rsidRDefault="001B5D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>
              <w:rPr>
                <w:lang w:val="es-ES_tradnl"/>
              </w:rPr>
              <w:t>Has respondido</w:t>
            </w:r>
            <w:r w:rsidR="00113C17" w:rsidRPr="006D2C3B">
              <w:rPr>
                <w:lang w:val="es-ES_tradnl"/>
              </w:rPr>
              <w:t xml:space="preserve"> </w:t>
            </w:r>
            <w:r w:rsidRPr="001B5D91">
              <w:rPr>
                <w:b/>
                <w:bCs/>
                <w:lang w:val="es-ES_tradnl"/>
              </w:rPr>
              <w:t>SÍ</w:t>
            </w:r>
            <w:r w:rsidR="00113C17" w:rsidRPr="006D2C3B">
              <w:rPr>
                <w:b/>
                <w:lang w:val="es-ES_tradnl"/>
              </w:rPr>
              <w:t xml:space="preserve"> </w:t>
            </w:r>
            <w:r>
              <w:rPr>
                <w:lang w:val="es-ES_tradnl"/>
              </w:rPr>
              <w:t>a esta pregunta</w:t>
            </w:r>
            <w:r w:rsidR="00113C17" w:rsidRPr="006D2C3B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Escribe un razonamiento a favor de esta práctica</w:t>
            </w:r>
            <w:r w:rsidR="002125D0" w:rsidRPr="006D2C3B">
              <w:rPr>
                <w:lang w:val="es-ES_tradnl"/>
              </w:rPr>
              <w:t>.</w:t>
            </w:r>
          </w:p>
        </w:tc>
        <w:tc>
          <w:tcPr>
            <w:tcW w:w="4731" w:type="dxa"/>
          </w:tcPr>
          <w:p w14:paraId="5E4940F9" w14:textId="4EF5F8B9" w:rsidR="00962C65" w:rsidRPr="006D2C3B" w:rsidRDefault="00687033">
            <w:pPr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Has respondido</w:t>
            </w:r>
            <w:r w:rsidR="00113C17" w:rsidRPr="006D2C3B">
              <w:rPr>
                <w:lang w:val="es-ES_tradnl"/>
              </w:rPr>
              <w:t xml:space="preserve"> </w:t>
            </w:r>
            <w:r w:rsidR="00113C17" w:rsidRPr="006D2C3B">
              <w:rPr>
                <w:b/>
                <w:lang w:val="es-ES_tradnl"/>
              </w:rPr>
              <w:t xml:space="preserve">NO </w:t>
            </w:r>
            <w:r>
              <w:rPr>
                <w:lang w:val="es-ES_tradnl"/>
              </w:rPr>
              <w:t>a esta</w:t>
            </w:r>
            <w:r w:rsidR="00113C17" w:rsidRPr="006D2C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pregunta</w:t>
            </w:r>
            <w:r w:rsidR="00113C17" w:rsidRPr="006D2C3B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Escribe un razonamiento en contra de esta práctica</w:t>
            </w:r>
            <w:r w:rsidR="00F6299A" w:rsidRPr="006D2C3B">
              <w:rPr>
                <w:lang w:val="es-ES_tradnl"/>
              </w:rPr>
              <w:t>.</w:t>
            </w:r>
            <w:r w:rsidR="00113C17" w:rsidRPr="006D2C3B">
              <w:rPr>
                <w:lang w:val="es-ES_tradnl"/>
              </w:rPr>
              <w:t xml:space="preserve"> </w:t>
            </w:r>
          </w:p>
        </w:tc>
      </w:tr>
      <w:tr w:rsidR="00962C65" w:rsidRPr="006D2C3B" w14:paraId="5E4940FE" w14:textId="77777777" w:rsidTr="00084D5B">
        <w:trPr>
          <w:trHeight w:val="4208"/>
        </w:trPr>
        <w:tc>
          <w:tcPr>
            <w:tcW w:w="9417" w:type="dxa"/>
            <w:gridSpan w:val="2"/>
          </w:tcPr>
          <w:p w14:paraId="5E4940FB" w14:textId="0B5232F3" w:rsidR="00962C65" w:rsidRPr="006D2C3B" w:rsidRDefault="00113C17">
            <w:pPr>
              <w:numPr>
                <w:ilvl w:val="0"/>
                <w:numId w:val="2"/>
              </w:numPr>
              <w:rPr>
                <w:lang w:val="es-ES_tradnl"/>
              </w:rPr>
            </w:pPr>
            <w:r w:rsidRPr="006D2C3B">
              <w:rPr>
                <w:lang w:val="es-ES_tradnl"/>
              </w:rPr>
              <w:t>Combin</w:t>
            </w:r>
            <w:r w:rsidR="009E78E0">
              <w:rPr>
                <w:lang w:val="es-ES_tradnl"/>
              </w:rPr>
              <w:t>a los razonamientos de tu grupo en una declaración de consejo</w:t>
            </w:r>
            <w:r w:rsidRPr="006D2C3B">
              <w:rPr>
                <w:lang w:val="es-ES_tradnl"/>
              </w:rPr>
              <w:t xml:space="preserve">. </w:t>
            </w:r>
            <w:r w:rsidR="009E78E0">
              <w:rPr>
                <w:lang w:val="es-ES_tradnl"/>
              </w:rPr>
              <w:t>Esta declaración</w:t>
            </w:r>
            <w:r w:rsidR="0091568E">
              <w:rPr>
                <w:lang w:val="es-ES_tradnl"/>
              </w:rPr>
              <w:t xml:space="preserve"> creará un enfoque equilibrado para aplicar los principios de la sentencia a un desafío moderno</w:t>
            </w:r>
            <w:r w:rsidRPr="006D2C3B">
              <w:rPr>
                <w:lang w:val="es-ES_tradnl"/>
              </w:rPr>
              <w:t>.</w:t>
            </w:r>
          </w:p>
          <w:p w14:paraId="5E4940FC" w14:textId="77777777" w:rsidR="00962C65" w:rsidRPr="006D2C3B" w:rsidRDefault="00962C65">
            <w:pPr>
              <w:rPr>
                <w:lang w:val="es-ES_tradnl"/>
              </w:rPr>
            </w:pPr>
          </w:p>
          <w:p w14:paraId="5E4940FD" w14:textId="77777777" w:rsidR="00962C65" w:rsidRPr="006D2C3B" w:rsidRDefault="00962C65">
            <w:pPr>
              <w:rPr>
                <w:lang w:val="es-ES_tradnl"/>
              </w:rPr>
            </w:pPr>
          </w:p>
        </w:tc>
      </w:tr>
    </w:tbl>
    <w:p w14:paraId="524BF863" w14:textId="77777777" w:rsidR="009E78E0" w:rsidRDefault="009E78E0">
      <w:pPr>
        <w:pStyle w:val="Title"/>
        <w:rPr>
          <w:lang w:val="es-ES_tradnl"/>
        </w:rPr>
      </w:pPr>
      <w:bookmarkStart w:id="0" w:name="_43lu58yz4g7g" w:colFirst="0" w:colLast="0"/>
      <w:bookmarkEnd w:id="0"/>
    </w:p>
    <w:p w14:paraId="5E4940FF" w14:textId="33E73406" w:rsidR="00962C65" w:rsidRPr="006D2C3B" w:rsidRDefault="00113C17">
      <w:pPr>
        <w:pStyle w:val="Title"/>
        <w:rPr>
          <w:b w:val="0"/>
          <w:smallCaps w:val="0"/>
          <w:sz w:val="24"/>
          <w:szCs w:val="24"/>
          <w:lang w:val="es-ES_tradnl"/>
        </w:rPr>
      </w:pPr>
      <w:r w:rsidRPr="006D2C3B">
        <w:rPr>
          <w:lang w:val="es-ES_tradnl"/>
        </w:rPr>
        <w:lastRenderedPageBreak/>
        <w:t xml:space="preserve">GIDEON </w:t>
      </w:r>
      <w:r w:rsidR="009E78E0">
        <w:rPr>
          <w:lang w:val="es-ES_tradnl"/>
        </w:rPr>
        <w:t>CONTRA</w:t>
      </w:r>
      <w:r w:rsidRPr="006D2C3B">
        <w:rPr>
          <w:lang w:val="es-ES_tradnl"/>
        </w:rPr>
        <w:t xml:space="preserve"> WAINWRIGHT, CON</w:t>
      </w:r>
      <w:r w:rsidR="009E78E0">
        <w:rPr>
          <w:lang w:val="es-ES_tradnl"/>
        </w:rPr>
        <w:t>TROVERSIA CONSTRUCTIVA</w:t>
      </w:r>
    </w:p>
    <w:tbl>
      <w:tblPr>
        <w:tblStyle w:val="a0"/>
        <w:tblW w:w="942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87"/>
        <w:gridCol w:w="4733"/>
      </w:tblGrid>
      <w:tr w:rsidR="00962C65" w:rsidRPr="006D2C3B" w14:paraId="5E494101" w14:textId="77777777" w:rsidTr="00084D5B">
        <w:trPr>
          <w:trHeight w:val="1005"/>
        </w:trPr>
        <w:tc>
          <w:tcPr>
            <w:tcW w:w="9417" w:type="dxa"/>
            <w:gridSpan w:val="2"/>
          </w:tcPr>
          <w:p w14:paraId="5E494100" w14:textId="7A662BE2" w:rsidR="00962C65" w:rsidRPr="00084D5B" w:rsidRDefault="00AA124B">
            <w:pPr>
              <w:rPr>
                <w:b/>
                <w:color w:val="910D28"/>
                <w:sz w:val="28"/>
                <w:szCs w:val="28"/>
                <w:lang w:val="es-ES_tradnl"/>
              </w:rPr>
            </w:pPr>
            <w:r w:rsidRPr="00084D5B">
              <w:rPr>
                <w:b/>
                <w:color w:val="910D28"/>
                <w:sz w:val="28"/>
                <w:szCs w:val="28"/>
                <w:lang w:val="es-ES_tradnl"/>
              </w:rPr>
              <w:t xml:space="preserve">Si no puedes pagar </w:t>
            </w:r>
            <w:r w:rsidR="00666F42" w:rsidRPr="00084D5B">
              <w:rPr>
                <w:b/>
                <w:color w:val="910D28"/>
                <w:sz w:val="28"/>
                <w:szCs w:val="28"/>
                <w:lang w:val="es-ES_tradnl"/>
              </w:rPr>
              <w:t>por un abogado privado</w:t>
            </w:r>
            <w:r w:rsidR="00113C17" w:rsidRPr="00084D5B">
              <w:rPr>
                <w:b/>
                <w:color w:val="910D28"/>
                <w:sz w:val="28"/>
                <w:szCs w:val="28"/>
                <w:lang w:val="es-ES_tradnl"/>
              </w:rPr>
              <w:t xml:space="preserve">, </w:t>
            </w:r>
            <w:r w:rsidR="00F61DB3" w:rsidRPr="00084D5B">
              <w:rPr>
                <w:b/>
                <w:color w:val="910D28"/>
                <w:sz w:val="28"/>
                <w:szCs w:val="28"/>
                <w:lang w:val="es-ES_tradnl"/>
              </w:rPr>
              <w:t xml:space="preserve">estás obligado a tener un defensor público que te represente </w:t>
            </w:r>
            <w:r w:rsidR="000F2838" w:rsidRPr="00084D5B">
              <w:rPr>
                <w:b/>
                <w:color w:val="910D28"/>
                <w:sz w:val="28"/>
                <w:szCs w:val="28"/>
                <w:lang w:val="es-ES_tradnl"/>
              </w:rPr>
              <w:t>durante todo el caso sin coste alguno</w:t>
            </w:r>
            <w:r w:rsidR="00113C17" w:rsidRPr="00084D5B">
              <w:rPr>
                <w:b/>
                <w:color w:val="910D28"/>
                <w:sz w:val="28"/>
                <w:szCs w:val="28"/>
                <w:lang w:val="es-ES_tradnl"/>
              </w:rPr>
              <w:t xml:space="preserve">. </w:t>
            </w:r>
            <w:r w:rsidR="000F2838" w:rsidRPr="00084D5B">
              <w:rPr>
                <w:b/>
                <w:color w:val="910D28"/>
                <w:sz w:val="28"/>
                <w:szCs w:val="28"/>
                <w:lang w:val="es-ES_tradnl"/>
              </w:rPr>
              <w:t>Puede ser que tengan menos experiencia que el fiscal y que se dediquen a muchos casos a la vez, en lugar de sólo el tuyo</w:t>
            </w:r>
            <w:r w:rsidR="00113C17" w:rsidRPr="00084D5B">
              <w:rPr>
                <w:b/>
                <w:color w:val="910D28"/>
                <w:sz w:val="28"/>
                <w:szCs w:val="28"/>
                <w:lang w:val="es-ES_tradnl"/>
              </w:rPr>
              <w:t xml:space="preserve">. </w:t>
            </w:r>
            <w:r w:rsidR="000F2838" w:rsidRPr="00084D5B">
              <w:rPr>
                <w:b/>
                <w:color w:val="910D28"/>
                <w:sz w:val="28"/>
                <w:szCs w:val="28"/>
                <w:lang w:val="es-ES_tradnl"/>
              </w:rPr>
              <w:t>¿Es esto justo</w:t>
            </w:r>
            <w:r w:rsidR="00113C17" w:rsidRPr="00084D5B">
              <w:rPr>
                <w:b/>
                <w:color w:val="910D28"/>
                <w:sz w:val="28"/>
                <w:szCs w:val="28"/>
                <w:lang w:val="es-ES_tradnl"/>
              </w:rPr>
              <w:t>?</w:t>
            </w:r>
          </w:p>
        </w:tc>
      </w:tr>
      <w:tr w:rsidR="00962C65" w:rsidRPr="006D2C3B" w14:paraId="5E494104" w14:textId="77777777" w:rsidTr="00084D5B">
        <w:trPr>
          <w:trHeight w:val="4545"/>
        </w:trPr>
        <w:tc>
          <w:tcPr>
            <w:tcW w:w="4686" w:type="dxa"/>
          </w:tcPr>
          <w:p w14:paraId="5E494102" w14:textId="018242F6" w:rsidR="00962C65" w:rsidRPr="006D2C3B" w:rsidRDefault="00422885">
            <w:pPr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Has respondido </w:t>
            </w:r>
            <w:r w:rsidRPr="00422885">
              <w:rPr>
                <w:b/>
                <w:bCs/>
                <w:lang w:val="es-ES_tradnl"/>
              </w:rPr>
              <w:t>SÍ</w:t>
            </w:r>
            <w:r>
              <w:rPr>
                <w:lang w:val="es-ES_tradnl"/>
              </w:rPr>
              <w:t xml:space="preserve"> a esta pregunta</w:t>
            </w:r>
            <w:r w:rsidR="00113C17" w:rsidRPr="006D2C3B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¿Por qué estás a favor de esta práctica</w:t>
            </w:r>
            <w:r w:rsidR="00113C17" w:rsidRPr="006D2C3B">
              <w:rPr>
                <w:lang w:val="es-ES_tradnl"/>
              </w:rPr>
              <w:t xml:space="preserve">? </w:t>
            </w:r>
          </w:p>
        </w:tc>
        <w:tc>
          <w:tcPr>
            <w:tcW w:w="4731" w:type="dxa"/>
          </w:tcPr>
          <w:p w14:paraId="5E494103" w14:textId="219C07FC" w:rsidR="00962C65" w:rsidRPr="006D2C3B" w:rsidRDefault="00D6445D">
            <w:pPr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Has respondido</w:t>
            </w:r>
            <w:r w:rsidR="00113C17" w:rsidRPr="006D2C3B">
              <w:rPr>
                <w:lang w:val="es-ES_tradnl"/>
              </w:rPr>
              <w:t xml:space="preserve"> </w:t>
            </w:r>
            <w:r w:rsidR="00113C17" w:rsidRPr="006D2C3B">
              <w:rPr>
                <w:b/>
                <w:lang w:val="es-ES_tradnl"/>
              </w:rPr>
              <w:t xml:space="preserve">NO </w:t>
            </w:r>
            <w:r>
              <w:rPr>
                <w:lang w:val="es-ES_tradnl"/>
              </w:rPr>
              <w:t>a</w:t>
            </w:r>
            <w:r w:rsidR="00113C17" w:rsidRPr="006D2C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esta pregunta</w:t>
            </w:r>
            <w:r w:rsidR="00113C17" w:rsidRPr="006D2C3B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¿Por qué crees que esta práctica p</w:t>
            </w:r>
            <w:r w:rsidR="00D6457F">
              <w:rPr>
                <w:lang w:val="es-ES_tradnl"/>
              </w:rPr>
              <w:t>odría suponer un obstáculo para la sentencia del caso de</w:t>
            </w:r>
            <w:r w:rsidR="00113C17" w:rsidRPr="006D2C3B">
              <w:rPr>
                <w:lang w:val="es-ES_tradnl"/>
              </w:rPr>
              <w:t xml:space="preserve"> Gideon? </w:t>
            </w:r>
          </w:p>
        </w:tc>
      </w:tr>
      <w:tr w:rsidR="00962C65" w:rsidRPr="006D2C3B" w14:paraId="5E494106" w14:textId="77777777" w:rsidTr="00084D5B">
        <w:trPr>
          <w:trHeight w:val="5108"/>
        </w:trPr>
        <w:tc>
          <w:tcPr>
            <w:tcW w:w="9417" w:type="dxa"/>
            <w:gridSpan w:val="2"/>
          </w:tcPr>
          <w:p w14:paraId="5E494105" w14:textId="675C10BC" w:rsidR="00962C65" w:rsidRPr="006D2C3B" w:rsidRDefault="00B30044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B30044">
              <w:rPr>
                <w:lang w:val="es-ES_tradnl"/>
              </w:rPr>
              <w:t xml:space="preserve">Combina los </w:t>
            </w:r>
            <w:r w:rsidR="00AB3647">
              <w:rPr>
                <w:lang w:val="es-ES_tradnl"/>
              </w:rPr>
              <w:t>razonamientos</w:t>
            </w:r>
            <w:r w:rsidRPr="00B30044">
              <w:rPr>
                <w:lang w:val="es-ES_tradnl"/>
              </w:rPr>
              <w:t xml:space="preserve"> de tu </w:t>
            </w:r>
            <w:r w:rsidR="00407332">
              <w:rPr>
                <w:lang w:val="es-ES_tradnl"/>
              </w:rPr>
              <w:t>grupo</w:t>
            </w:r>
            <w:r w:rsidRPr="00B30044">
              <w:rPr>
                <w:lang w:val="es-ES_tradnl"/>
              </w:rPr>
              <w:t xml:space="preserve"> en una declaración de consejo. Esta declaración creará un enfoque equilibrado para aplicar los principios de la sentencia a un desafío </w:t>
            </w:r>
            <w:r w:rsidR="00AB3647">
              <w:rPr>
                <w:lang w:val="es-ES_tradnl"/>
              </w:rPr>
              <w:t>moderno</w:t>
            </w:r>
            <w:r w:rsidR="00113C17" w:rsidRPr="006D2C3B">
              <w:rPr>
                <w:lang w:val="es-ES_tradnl"/>
              </w:rPr>
              <w:t>.</w:t>
            </w:r>
          </w:p>
        </w:tc>
      </w:tr>
    </w:tbl>
    <w:p w14:paraId="5E494107" w14:textId="77777777" w:rsidR="00962C65" w:rsidRPr="006D2C3B" w:rsidRDefault="00962C65">
      <w:pPr>
        <w:rPr>
          <w:i/>
          <w:color w:val="3E5C61"/>
          <w:sz w:val="18"/>
          <w:szCs w:val="18"/>
          <w:lang w:val="es-ES_tradnl"/>
        </w:rPr>
      </w:pPr>
    </w:p>
    <w:sectPr w:rsidR="00962C65" w:rsidRPr="006D2C3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4963" w14:textId="77777777" w:rsidR="00D837AC" w:rsidRDefault="00D837AC">
      <w:pPr>
        <w:spacing w:after="0" w:line="240" w:lineRule="auto"/>
      </w:pPr>
      <w:r>
        <w:separator/>
      </w:r>
    </w:p>
  </w:endnote>
  <w:endnote w:type="continuationSeparator" w:id="0">
    <w:p w14:paraId="26DF100F" w14:textId="77777777" w:rsidR="00D837AC" w:rsidRDefault="00D8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410D" w14:textId="77777777" w:rsidR="00962C65" w:rsidRDefault="00113C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E49410E" wp14:editId="5E49410F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E494110" wp14:editId="5E494111">
              <wp:simplePos x="0" y="0"/>
              <wp:positionH relativeFrom="column">
                <wp:posOffset>1473200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494112" w14:textId="77777777" w:rsidR="00962C65" w:rsidRPr="00D11746" w:rsidRDefault="00113C1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D11746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YOU HAVE THE RIGHT…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494110" id="Rectangle 1" o:spid="_x0000_s1026" style="position:absolute;margin-left:116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" filled="f" stroked="f">
              <v:textbox inset="2.53958mm,1.2694mm,2.53958mm,1.2694mm">
                <w:txbxContent>
                  <w:p w14:paraId="5E494112" w14:textId="77777777" w:rsidR="00962C65" w:rsidRPr="00D11746" w:rsidRDefault="00113C17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D11746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YOU HAVE THE RIGHT…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9305" w14:textId="77777777" w:rsidR="00D837AC" w:rsidRDefault="00D837AC">
      <w:pPr>
        <w:spacing w:after="0" w:line="240" w:lineRule="auto"/>
      </w:pPr>
      <w:r>
        <w:separator/>
      </w:r>
    </w:p>
  </w:footnote>
  <w:footnote w:type="continuationSeparator" w:id="0">
    <w:p w14:paraId="791BF547" w14:textId="77777777" w:rsidR="00D837AC" w:rsidRDefault="00D8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CD74" w14:textId="77777777" w:rsidR="00D11746" w:rsidRDefault="00D11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CE8C" w14:textId="77777777" w:rsidR="00D11746" w:rsidRDefault="00D11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D8EA" w14:textId="77777777" w:rsidR="00D11746" w:rsidRDefault="00D11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A1B"/>
    <w:multiLevelType w:val="multilevel"/>
    <w:tmpl w:val="CF440F3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color w:val="910D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4D349B"/>
    <w:multiLevelType w:val="multilevel"/>
    <w:tmpl w:val="19041F4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color w:val="910D28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20100137">
    <w:abstractNumId w:val="1"/>
  </w:num>
  <w:num w:numId="2" w16cid:durableId="1693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65"/>
    <w:rsid w:val="00084D5B"/>
    <w:rsid w:val="000F2838"/>
    <w:rsid w:val="00113C17"/>
    <w:rsid w:val="00173EA7"/>
    <w:rsid w:val="001931D7"/>
    <w:rsid w:val="001B5D91"/>
    <w:rsid w:val="002125D0"/>
    <w:rsid w:val="00254C57"/>
    <w:rsid w:val="00407332"/>
    <w:rsid w:val="00422885"/>
    <w:rsid w:val="004A1DBA"/>
    <w:rsid w:val="00615F26"/>
    <w:rsid w:val="00653D2E"/>
    <w:rsid w:val="00666F42"/>
    <w:rsid w:val="00687033"/>
    <w:rsid w:val="006D2C3B"/>
    <w:rsid w:val="00715D44"/>
    <w:rsid w:val="00836626"/>
    <w:rsid w:val="0091568E"/>
    <w:rsid w:val="00962C65"/>
    <w:rsid w:val="009E78E0"/>
    <w:rsid w:val="00AA124B"/>
    <w:rsid w:val="00AB3647"/>
    <w:rsid w:val="00AF5DD6"/>
    <w:rsid w:val="00B30044"/>
    <w:rsid w:val="00B77414"/>
    <w:rsid w:val="00D11746"/>
    <w:rsid w:val="00D6445D"/>
    <w:rsid w:val="00D6457F"/>
    <w:rsid w:val="00D837AC"/>
    <w:rsid w:val="00E53D01"/>
    <w:rsid w:val="00F61DB3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940F5"/>
  <w15:docId w15:val="{F81DAE1B-2731-4EB3-AA99-7AB0F545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746"/>
  </w:style>
  <w:style w:type="paragraph" w:styleId="Footer">
    <w:name w:val="footer"/>
    <w:basedOn w:val="Normal"/>
    <w:link w:val="FooterChar"/>
    <w:uiPriority w:val="99"/>
    <w:unhideWhenUsed/>
    <w:rsid w:val="00D1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the Right...</vt:lpstr>
    </vt:vector>
  </TitlesOfParts>
  <Manager/>
  <Company/>
  <LinksUpToDate>false</LinksUpToDate>
  <CharactersWithSpaces>1446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the Right...</dc:title>
  <dc:subject/>
  <dc:creator>K20 Center</dc:creator>
  <cp:keywords/>
  <dc:description/>
  <cp:lastModifiedBy>Bigler, Elijah B.</cp:lastModifiedBy>
  <cp:revision>29</cp:revision>
  <dcterms:created xsi:type="dcterms:W3CDTF">2023-08-21T16:30:00Z</dcterms:created>
  <dcterms:modified xsi:type="dcterms:W3CDTF">2023-09-18T16:13:00Z</dcterms:modified>
  <cp:category/>
</cp:coreProperties>
</file>