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940F5" w14:textId="77777777" w:rsidR="00962C65" w:rsidRDefault="00113C17">
      <w:pPr>
        <w:pStyle w:val="Title"/>
        <w:rPr>
          <w:b w:val="0"/>
          <w:smallCaps w:val="0"/>
          <w:color w:val="000000"/>
          <w:sz w:val="24"/>
          <w:szCs w:val="24"/>
        </w:rPr>
      </w:pPr>
      <w:r>
        <w:t>MIRANDA V. ARIZONA, CONSTRUCTIVE CONTROVERSY</w:t>
      </w:r>
    </w:p>
    <w:tbl>
      <w:tblPr>
        <w:tblStyle w:val="a"/>
        <w:tblW w:w="94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87"/>
        <w:gridCol w:w="4733"/>
      </w:tblGrid>
      <w:tr w:rsidR="00962C65" w14:paraId="5E4940F7" w14:textId="77777777">
        <w:trPr>
          <w:trHeight w:val="1005"/>
        </w:trPr>
        <w:tc>
          <w:tcPr>
            <w:tcW w:w="9417" w:type="dxa"/>
            <w:gridSpan w:val="2"/>
          </w:tcPr>
          <w:p w14:paraId="5E4940F6" w14:textId="77777777" w:rsidR="00962C65" w:rsidRDefault="00113C17">
            <w:pPr>
              <w:pBdr>
                <w:top w:val="nil"/>
                <w:left w:val="nil"/>
                <w:bottom w:val="nil"/>
                <w:right w:val="nil"/>
                <w:between w:val="nil"/>
              </w:pBdr>
              <w:rPr>
                <w:b/>
                <w:color w:val="3E5C61"/>
              </w:rPr>
            </w:pPr>
            <w:r>
              <w:rPr>
                <w:b/>
                <w:color w:val="910D28"/>
                <w:sz w:val="30"/>
                <w:szCs w:val="30"/>
              </w:rPr>
              <w:t>In 2013, police officers did not immediately inform Boston Marathon bombing suspect Dzhokar Tsarnaev of his Miranda rights after he was arrested. Police officers are allowed to skip reading the Miranda warning to suspects in cases involving terrorism. Is this fair?</w:t>
            </w:r>
          </w:p>
        </w:tc>
      </w:tr>
      <w:tr w:rsidR="00962C65" w14:paraId="5E4940FA" w14:textId="77777777" w:rsidTr="001931D7">
        <w:trPr>
          <w:trHeight w:val="5535"/>
        </w:trPr>
        <w:tc>
          <w:tcPr>
            <w:tcW w:w="4686" w:type="dxa"/>
            <w:tcBorders>
              <w:bottom w:val="single" w:sz="24" w:space="0" w:color="3E5C61"/>
            </w:tcBorders>
          </w:tcPr>
          <w:p w14:paraId="5E4940F8" w14:textId="298E8898" w:rsidR="00962C65" w:rsidRDefault="00113C17">
            <w:pPr>
              <w:numPr>
                <w:ilvl w:val="0"/>
                <w:numId w:val="2"/>
              </w:numPr>
              <w:pBdr>
                <w:top w:val="nil"/>
                <w:left w:val="nil"/>
                <w:bottom w:val="nil"/>
                <w:right w:val="nil"/>
                <w:between w:val="nil"/>
              </w:pBdr>
            </w:pPr>
            <w:r>
              <w:t xml:space="preserve">You have answered </w:t>
            </w:r>
            <w:r>
              <w:rPr>
                <w:b/>
              </w:rPr>
              <w:t xml:space="preserve">YES </w:t>
            </w:r>
            <w:r>
              <w:t xml:space="preserve">to this question. </w:t>
            </w:r>
            <w:r w:rsidR="002125D0">
              <w:t>Write a reasoning in favor of this practice.</w:t>
            </w:r>
          </w:p>
        </w:tc>
        <w:tc>
          <w:tcPr>
            <w:tcW w:w="4731" w:type="dxa"/>
            <w:tcBorders>
              <w:bottom w:val="single" w:sz="24" w:space="0" w:color="3E5C61"/>
            </w:tcBorders>
          </w:tcPr>
          <w:p w14:paraId="5E4940F9" w14:textId="3453C1A2" w:rsidR="00962C65" w:rsidRDefault="00113C17">
            <w:pPr>
              <w:numPr>
                <w:ilvl w:val="0"/>
                <w:numId w:val="2"/>
              </w:numPr>
            </w:pPr>
            <w:r>
              <w:t xml:space="preserve">You have answered </w:t>
            </w:r>
            <w:r>
              <w:rPr>
                <w:b/>
              </w:rPr>
              <w:t xml:space="preserve">NO </w:t>
            </w:r>
            <w:r>
              <w:t xml:space="preserve">to this question. </w:t>
            </w:r>
            <w:r w:rsidR="002125D0">
              <w:t>Write a reasoning against this practice</w:t>
            </w:r>
            <w:r w:rsidR="00F6299A">
              <w:t>.</w:t>
            </w:r>
            <w:r>
              <w:t xml:space="preserve"> </w:t>
            </w:r>
          </w:p>
        </w:tc>
      </w:tr>
      <w:tr w:rsidR="00962C65" w14:paraId="5E4940FE" w14:textId="77777777" w:rsidTr="001931D7">
        <w:trPr>
          <w:trHeight w:val="4208"/>
        </w:trPr>
        <w:tc>
          <w:tcPr>
            <w:tcW w:w="9417" w:type="dxa"/>
            <w:gridSpan w:val="2"/>
            <w:tcBorders>
              <w:top w:val="single" w:sz="24" w:space="0" w:color="3E5C61"/>
            </w:tcBorders>
          </w:tcPr>
          <w:p w14:paraId="5E4940FB" w14:textId="0B1DEC00" w:rsidR="00962C65" w:rsidRDefault="00113C17">
            <w:pPr>
              <w:numPr>
                <w:ilvl w:val="0"/>
                <w:numId w:val="2"/>
              </w:numPr>
            </w:pPr>
            <w:r>
              <w:t xml:space="preserve">Combine the arguments your </w:t>
            </w:r>
            <w:r w:rsidR="00F6299A">
              <w:t xml:space="preserve">group </w:t>
            </w:r>
            <w:r>
              <w:t>came up with into a statement of advice. This statement will create a balanced approach for applying the principles of the ruling to a modern-day challenge.</w:t>
            </w:r>
          </w:p>
          <w:p w14:paraId="5E4940FC" w14:textId="77777777" w:rsidR="00962C65" w:rsidRDefault="00962C65"/>
          <w:p w14:paraId="5E4940FD" w14:textId="77777777" w:rsidR="00962C65" w:rsidRDefault="00962C65"/>
        </w:tc>
      </w:tr>
    </w:tbl>
    <w:p w14:paraId="5E4940FF" w14:textId="77777777" w:rsidR="00962C65" w:rsidRDefault="00113C17">
      <w:pPr>
        <w:pStyle w:val="Title"/>
        <w:rPr>
          <w:b w:val="0"/>
          <w:smallCaps w:val="0"/>
          <w:sz w:val="24"/>
          <w:szCs w:val="24"/>
        </w:rPr>
      </w:pPr>
      <w:bookmarkStart w:id="0" w:name="_43lu58yz4g7g" w:colFirst="0" w:colLast="0"/>
      <w:bookmarkEnd w:id="0"/>
      <w:r>
        <w:lastRenderedPageBreak/>
        <w:t>GIDEON V. WAINWRIGHT, CONSTRUCTIVE CONTROVERSY</w:t>
      </w:r>
    </w:p>
    <w:tbl>
      <w:tblPr>
        <w:tblStyle w:val="a0"/>
        <w:tblW w:w="94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87"/>
        <w:gridCol w:w="4733"/>
      </w:tblGrid>
      <w:tr w:rsidR="00962C65" w14:paraId="5E494101" w14:textId="77777777">
        <w:trPr>
          <w:trHeight w:val="1005"/>
        </w:trPr>
        <w:tc>
          <w:tcPr>
            <w:tcW w:w="9417" w:type="dxa"/>
            <w:gridSpan w:val="2"/>
          </w:tcPr>
          <w:p w14:paraId="5E494100" w14:textId="22F57E65" w:rsidR="00962C65" w:rsidRDefault="00113C17">
            <w:pPr>
              <w:rPr>
                <w:b/>
                <w:color w:val="910D28"/>
                <w:sz w:val="30"/>
                <w:szCs w:val="30"/>
              </w:rPr>
            </w:pPr>
            <w:r>
              <w:rPr>
                <w:b/>
                <w:color w:val="910D28"/>
                <w:sz w:val="30"/>
                <w:szCs w:val="30"/>
              </w:rPr>
              <w:t xml:space="preserve">If you can’t afford a private attorney, you are required to have a public defender represent you for your entire case at no cost. They may be less experienced than the prosecutor and </w:t>
            </w:r>
            <w:r w:rsidR="00A91BED">
              <w:rPr>
                <w:b/>
                <w:color w:val="910D28"/>
                <w:sz w:val="30"/>
                <w:szCs w:val="30"/>
              </w:rPr>
              <w:t>focus</w:t>
            </w:r>
            <w:r>
              <w:rPr>
                <w:b/>
                <w:color w:val="910D28"/>
                <w:sz w:val="30"/>
                <w:szCs w:val="30"/>
              </w:rPr>
              <w:t xml:space="preserve"> on many cases at once, instead of just yours. Is this fair?</w:t>
            </w:r>
          </w:p>
        </w:tc>
      </w:tr>
      <w:tr w:rsidR="00962C65" w14:paraId="5E494104" w14:textId="77777777" w:rsidTr="001931D7">
        <w:trPr>
          <w:trHeight w:val="4545"/>
        </w:trPr>
        <w:tc>
          <w:tcPr>
            <w:tcW w:w="4686" w:type="dxa"/>
            <w:tcBorders>
              <w:bottom w:val="single" w:sz="24" w:space="0" w:color="3E5C61"/>
            </w:tcBorders>
          </w:tcPr>
          <w:p w14:paraId="5E494102" w14:textId="77777777" w:rsidR="00962C65" w:rsidRDefault="00113C17">
            <w:pPr>
              <w:numPr>
                <w:ilvl w:val="0"/>
                <w:numId w:val="1"/>
              </w:numPr>
            </w:pPr>
            <w:r>
              <w:t xml:space="preserve">You have answered </w:t>
            </w:r>
            <w:r>
              <w:rPr>
                <w:b/>
              </w:rPr>
              <w:t xml:space="preserve">YES </w:t>
            </w:r>
            <w:r>
              <w:t xml:space="preserve">to this question. Why are you in favor of this practice? </w:t>
            </w:r>
          </w:p>
        </w:tc>
        <w:tc>
          <w:tcPr>
            <w:tcW w:w="4731" w:type="dxa"/>
            <w:tcBorders>
              <w:bottom w:val="single" w:sz="24" w:space="0" w:color="3E5C61"/>
            </w:tcBorders>
          </w:tcPr>
          <w:p w14:paraId="5E494103" w14:textId="77777777" w:rsidR="00962C65" w:rsidRDefault="00113C17">
            <w:pPr>
              <w:numPr>
                <w:ilvl w:val="0"/>
                <w:numId w:val="1"/>
              </w:numPr>
            </w:pPr>
            <w:r>
              <w:t xml:space="preserve">You have answered </w:t>
            </w:r>
            <w:r>
              <w:rPr>
                <w:b/>
              </w:rPr>
              <w:t xml:space="preserve">NO </w:t>
            </w:r>
            <w:r>
              <w:t xml:space="preserve">to this question. Why do you think this practice might present a challenge to the ruling in the Gideon case? </w:t>
            </w:r>
          </w:p>
        </w:tc>
      </w:tr>
      <w:tr w:rsidR="00962C65" w14:paraId="5E494106" w14:textId="77777777" w:rsidTr="00F6299A">
        <w:trPr>
          <w:trHeight w:val="5108"/>
        </w:trPr>
        <w:tc>
          <w:tcPr>
            <w:tcW w:w="9417" w:type="dxa"/>
            <w:gridSpan w:val="2"/>
            <w:tcBorders>
              <w:top w:val="single" w:sz="24" w:space="0" w:color="3E5C61"/>
            </w:tcBorders>
          </w:tcPr>
          <w:p w14:paraId="5E494105" w14:textId="285850DC" w:rsidR="00962C65" w:rsidRDefault="00113C17">
            <w:pPr>
              <w:numPr>
                <w:ilvl w:val="0"/>
                <w:numId w:val="1"/>
              </w:numPr>
            </w:pPr>
            <w:r>
              <w:t xml:space="preserve">Combine the arguments your </w:t>
            </w:r>
            <w:r w:rsidR="000F19AB">
              <w:t>group</w:t>
            </w:r>
            <w:r>
              <w:t xml:space="preserve"> came up with into a statement of advice. This statement will create a balanced approach for applying the principles of the ruling to a modern-day challenge.</w:t>
            </w:r>
          </w:p>
        </w:tc>
      </w:tr>
    </w:tbl>
    <w:p w14:paraId="5E494107" w14:textId="77777777" w:rsidR="00962C65" w:rsidRDefault="00962C65">
      <w:pPr>
        <w:rPr>
          <w:i/>
          <w:color w:val="3E5C61"/>
          <w:sz w:val="18"/>
          <w:szCs w:val="18"/>
        </w:rPr>
      </w:pPr>
    </w:p>
    <w:sectPr w:rsidR="00962C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1706" w14:textId="77777777" w:rsidR="004A1DBA" w:rsidRDefault="004A1DBA">
      <w:pPr>
        <w:spacing w:after="0" w:line="240" w:lineRule="auto"/>
      </w:pPr>
      <w:r>
        <w:separator/>
      </w:r>
    </w:p>
  </w:endnote>
  <w:endnote w:type="continuationSeparator" w:id="0">
    <w:p w14:paraId="5FEB9696" w14:textId="77777777" w:rsidR="004A1DBA" w:rsidRDefault="004A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9C9D" w14:textId="77777777" w:rsidR="00D11746" w:rsidRDefault="00D1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410D" w14:textId="77777777" w:rsidR="00962C65" w:rsidRDefault="00113C1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5E49410E" wp14:editId="5E49410F">
          <wp:simplePos x="0" y="0"/>
          <wp:positionH relativeFrom="column">
            <wp:posOffset>1371600</wp:posOffset>
          </wp:positionH>
          <wp:positionV relativeFrom="paragraph">
            <wp:posOffset>-212724</wp:posOffset>
          </wp:positionV>
          <wp:extent cx="4572000" cy="3168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E494110" wp14:editId="5E494111">
              <wp:simplePos x="0" y="0"/>
              <wp:positionH relativeFrom="column">
                <wp:posOffset>1473200</wp:posOffset>
              </wp:positionH>
              <wp:positionV relativeFrom="paragraph">
                <wp:posOffset>-253999</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E494112" w14:textId="77777777" w:rsidR="00962C65" w:rsidRPr="00D11746" w:rsidRDefault="00113C17">
                          <w:pPr>
                            <w:spacing w:after="0" w:line="240" w:lineRule="auto"/>
                            <w:jc w:val="right"/>
                            <w:textDirection w:val="btLr"/>
                            <w:rPr>
                              <w:rFonts w:asciiTheme="majorHAnsi" w:hAnsiTheme="majorHAnsi" w:cstheme="majorHAnsi"/>
                            </w:rPr>
                          </w:pPr>
                          <w:r w:rsidRPr="00D11746">
                            <w:rPr>
                              <w:rFonts w:asciiTheme="majorHAnsi" w:eastAsia="Arial" w:hAnsiTheme="majorHAnsi" w:cstheme="majorHAnsi"/>
                              <w:b/>
                              <w:smallCaps/>
                              <w:color w:val="2D2D2D"/>
                            </w:rPr>
                            <w:t>YOU HAVE THE RIGHT…</w:t>
                          </w:r>
                        </w:p>
                      </w:txbxContent>
                    </wps:txbx>
                    <wps:bodyPr spcFirstLastPara="1" wrap="square" lIns="91425" tIns="45700" rIns="91425" bIns="45700" anchor="t" anchorCtr="0">
                      <a:noAutofit/>
                    </wps:bodyPr>
                  </wps:wsp>
                </a:graphicData>
              </a:graphic>
            </wp:anchor>
          </w:drawing>
        </mc:Choice>
        <mc:Fallback>
          <w:pict>
            <v:rect w14:anchorId="5E494110" id="Rectangle 1" o:spid="_x0000_s1026" style="position:absolute;margin-left:116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" filled="f" stroked="f">
              <v:textbox inset="2.53958mm,1.2694mm,2.53958mm,1.2694mm">
                <w:txbxContent>
                  <w:p w14:paraId="5E494112" w14:textId="77777777" w:rsidR="00962C65" w:rsidRPr="00D11746" w:rsidRDefault="00113C17">
                    <w:pPr>
                      <w:spacing w:after="0" w:line="240" w:lineRule="auto"/>
                      <w:jc w:val="right"/>
                      <w:textDirection w:val="btLr"/>
                      <w:rPr>
                        <w:rFonts w:asciiTheme="majorHAnsi" w:hAnsiTheme="majorHAnsi" w:cstheme="majorHAnsi"/>
                      </w:rPr>
                    </w:pPr>
                    <w:r w:rsidRPr="00D11746">
                      <w:rPr>
                        <w:rFonts w:asciiTheme="majorHAnsi" w:eastAsia="Arial" w:hAnsiTheme="majorHAnsi" w:cstheme="majorHAnsi"/>
                        <w:b/>
                        <w:smallCaps/>
                        <w:color w:val="2D2D2D"/>
                      </w:rPr>
                      <w:t>YOU HAVE THE RIGHT…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D36C" w14:textId="77777777" w:rsidR="00D11746" w:rsidRDefault="00D1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80C6" w14:textId="77777777" w:rsidR="004A1DBA" w:rsidRDefault="004A1DBA">
      <w:pPr>
        <w:spacing w:after="0" w:line="240" w:lineRule="auto"/>
      </w:pPr>
      <w:r>
        <w:separator/>
      </w:r>
    </w:p>
  </w:footnote>
  <w:footnote w:type="continuationSeparator" w:id="0">
    <w:p w14:paraId="55248145" w14:textId="77777777" w:rsidR="004A1DBA" w:rsidRDefault="004A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CD74" w14:textId="77777777" w:rsidR="00D11746" w:rsidRDefault="00D1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CE8C" w14:textId="77777777" w:rsidR="00D11746" w:rsidRDefault="00D1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D8EA" w14:textId="77777777" w:rsidR="00D11746" w:rsidRDefault="00D1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A1B"/>
    <w:multiLevelType w:val="multilevel"/>
    <w:tmpl w:val="3B4ADD0E"/>
    <w:lvl w:ilvl="0">
      <w:start w:val="1"/>
      <w:numFmt w:val="decimal"/>
      <w:lvlText w:val="%1."/>
      <w:lvlJc w:val="left"/>
      <w:pPr>
        <w:ind w:left="720" w:hanging="360"/>
      </w:pPr>
      <w:rPr>
        <w:rFonts w:ascii="Arial" w:eastAsia="Arial" w:hAnsi="Arial" w:cs="Arial"/>
        <w:b/>
        <w:color w:val="910D28"/>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4D349B"/>
    <w:multiLevelType w:val="multilevel"/>
    <w:tmpl w:val="D7CA0E56"/>
    <w:lvl w:ilvl="0">
      <w:start w:val="1"/>
      <w:numFmt w:val="decimal"/>
      <w:lvlText w:val="%1."/>
      <w:lvlJc w:val="left"/>
      <w:pPr>
        <w:ind w:left="720" w:hanging="360"/>
      </w:pPr>
      <w:rPr>
        <w:rFonts w:ascii="Arial" w:eastAsia="Arial" w:hAnsi="Arial" w:cs="Arial"/>
        <w:b/>
        <w:color w:val="910D28"/>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0100137">
    <w:abstractNumId w:val="1"/>
  </w:num>
  <w:num w:numId="2" w16cid:durableId="1693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65"/>
    <w:rsid w:val="000F19AB"/>
    <w:rsid w:val="00113C17"/>
    <w:rsid w:val="001931D7"/>
    <w:rsid w:val="002125D0"/>
    <w:rsid w:val="004A1DBA"/>
    <w:rsid w:val="00962C65"/>
    <w:rsid w:val="00A91BED"/>
    <w:rsid w:val="00AF5DD6"/>
    <w:rsid w:val="00D11746"/>
    <w:rsid w:val="00F6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40F5"/>
  <w15:docId w15:val="{F81DAE1B-2731-4EB3-AA99-7AB0F545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1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46"/>
  </w:style>
  <w:style w:type="paragraph" w:styleId="Footer">
    <w:name w:val="footer"/>
    <w:basedOn w:val="Normal"/>
    <w:link w:val="FooterChar"/>
    <w:uiPriority w:val="99"/>
    <w:unhideWhenUsed/>
    <w:rsid w:val="00D1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creator>K20 Center</dc:creator>
  <cp:lastModifiedBy>Bigler, Elijah B.</cp:lastModifiedBy>
  <cp:revision>10</cp:revision>
  <dcterms:created xsi:type="dcterms:W3CDTF">2023-08-21T16:30:00Z</dcterms:created>
  <dcterms:modified xsi:type="dcterms:W3CDTF">2023-09-13T16:14:00Z</dcterms:modified>
</cp:coreProperties>
</file>