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56"/>
        <w:tblW w:w="1286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7732"/>
        <w:gridCol w:w="2641"/>
        <w:gridCol w:w="2492"/>
      </w:tblGrid>
      <w:tr w:rsidR="004E154D" w:rsidRPr="004E154D" w14:paraId="361B404C" w14:textId="77777777" w:rsidTr="004E154D">
        <w:trPr>
          <w:trHeight w:val="962"/>
        </w:trPr>
        <w:tc>
          <w:tcPr>
            <w:tcW w:w="7732" w:type="dxa"/>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17D093BD" w14:textId="77777777" w:rsidR="004E154D" w:rsidRPr="004E154D" w:rsidRDefault="004E154D" w:rsidP="004E154D">
            <w:pPr>
              <w:pStyle w:val="RowHeader"/>
              <w:rPr>
                <w:color w:val="971D20" w:themeColor="accent3"/>
                <w:sz w:val="22"/>
              </w:rPr>
            </w:pPr>
            <w:r w:rsidRPr="004E154D">
              <w:rPr>
                <w:color w:val="971D20" w:themeColor="accent3"/>
                <w:sz w:val="22"/>
              </w:rPr>
              <w:t>Participants/Key Players:</w:t>
            </w:r>
            <w:r w:rsidRPr="004E154D">
              <w:rPr>
                <w:color w:val="971D20" w:themeColor="accent3"/>
                <w:sz w:val="22"/>
              </w:rPr>
              <w:br/>
            </w:r>
          </w:p>
          <w:p w14:paraId="37C07FA5" w14:textId="77777777" w:rsidR="004E154D" w:rsidRPr="004E154D" w:rsidRDefault="004E154D" w:rsidP="004E154D">
            <w:pPr>
              <w:pStyle w:val="AnswerKey"/>
              <w:rPr>
                <w:sz w:val="22"/>
                <w:szCs w:val="22"/>
              </w:rPr>
            </w:pPr>
            <w:r w:rsidRPr="004E154D">
              <w:rPr>
                <w:sz w:val="22"/>
                <w:szCs w:val="22"/>
              </w:rPr>
              <w:t xml:space="preserve"> Lt. Col. Custer and the 7</w:t>
            </w:r>
            <w:r w:rsidRPr="004E154D">
              <w:rPr>
                <w:sz w:val="22"/>
                <w:szCs w:val="22"/>
                <w:vertAlign w:val="superscript"/>
              </w:rPr>
              <w:t>th</w:t>
            </w:r>
            <w:r w:rsidRPr="004E154D">
              <w:rPr>
                <w:sz w:val="22"/>
                <w:szCs w:val="22"/>
              </w:rPr>
              <w:t xml:space="preserve"> Cavalry (U.S. Army and Black Kettle’s band of Cheyenne</w:t>
            </w:r>
          </w:p>
        </w:tc>
        <w:tc>
          <w:tcPr>
            <w:tcW w:w="2641" w:type="dxa"/>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6EEDA971" w14:textId="77777777" w:rsidR="004E154D" w:rsidRPr="004E154D" w:rsidRDefault="004E154D" w:rsidP="004E154D">
            <w:pPr>
              <w:pBdr>
                <w:top w:val="nil"/>
                <w:left w:val="nil"/>
                <w:bottom w:val="nil"/>
                <w:right w:val="nil"/>
                <w:between w:val="nil"/>
              </w:pBdr>
              <w:rPr>
                <w:b/>
                <w:color w:val="971D20" w:themeColor="accent3"/>
                <w:sz w:val="22"/>
                <w:szCs w:val="22"/>
              </w:rPr>
            </w:pPr>
            <w:r w:rsidRPr="004E154D">
              <w:rPr>
                <w:b/>
                <w:color w:val="971D20" w:themeColor="accent3"/>
                <w:sz w:val="22"/>
                <w:szCs w:val="22"/>
              </w:rPr>
              <w:t>When:</w:t>
            </w:r>
          </w:p>
          <w:p w14:paraId="2E8A3F59" w14:textId="77777777" w:rsidR="004E154D" w:rsidRPr="004E154D" w:rsidRDefault="004E154D" w:rsidP="004E154D">
            <w:pPr>
              <w:pStyle w:val="AnswerKey"/>
              <w:rPr>
                <w:sz w:val="22"/>
                <w:szCs w:val="22"/>
              </w:rPr>
            </w:pPr>
            <w:r w:rsidRPr="004E154D">
              <w:rPr>
                <w:sz w:val="22"/>
                <w:szCs w:val="22"/>
              </w:rPr>
              <w:t xml:space="preserve"> Nov. 27, 1968, at dawn</w:t>
            </w:r>
          </w:p>
        </w:tc>
        <w:tc>
          <w:tcPr>
            <w:tcW w:w="2492" w:type="dxa"/>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08AD175F" w14:textId="77777777" w:rsidR="004E154D" w:rsidRPr="004E154D" w:rsidRDefault="004E154D" w:rsidP="004E154D">
            <w:pPr>
              <w:pBdr>
                <w:top w:val="nil"/>
                <w:left w:val="nil"/>
                <w:bottom w:val="nil"/>
                <w:right w:val="nil"/>
                <w:between w:val="nil"/>
              </w:pBdr>
              <w:rPr>
                <w:b/>
                <w:color w:val="971D20" w:themeColor="accent3"/>
                <w:sz w:val="22"/>
                <w:szCs w:val="22"/>
              </w:rPr>
            </w:pPr>
            <w:r w:rsidRPr="004E154D">
              <w:rPr>
                <w:b/>
                <w:color w:val="971D20" w:themeColor="accent3"/>
                <w:sz w:val="22"/>
                <w:szCs w:val="22"/>
              </w:rPr>
              <w:t>Where:</w:t>
            </w:r>
          </w:p>
          <w:p w14:paraId="73664969" w14:textId="77777777" w:rsidR="004E154D" w:rsidRPr="004E154D" w:rsidRDefault="004E154D" w:rsidP="004E154D">
            <w:pPr>
              <w:pStyle w:val="AnswerKey"/>
              <w:spacing w:line="240" w:lineRule="auto"/>
              <w:rPr>
                <w:sz w:val="22"/>
                <w:szCs w:val="22"/>
              </w:rPr>
            </w:pPr>
            <w:r w:rsidRPr="004E154D">
              <w:rPr>
                <w:sz w:val="22"/>
                <w:szCs w:val="22"/>
              </w:rPr>
              <w:t>Banks of the Washita River in Indian Territory, near what today is Cheyenne, OK</w:t>
            </w:r>
          </w:p>
        </w:tc>
      </w:tr>
      <w:tr w:rsidR="004E154D" w:rsidRPr="004E154D" w14:paraId="0D24CC48" w14:textId="77777777" w:rsidTr="004E154D">
        <w:trPr>
          <w:trHeight w:val="2492"/>
        </w:trPr>
        <w:tc>
          <w:tcPr>
            <w:tcW w:w="7732" w:type="dxa"/>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4E7E86E4" w14:textId="77777777" w:rsidR="004E154D" w:rsidRPr="004E154D" w:rsidRDefault="004E154D" w:rsidP="004E154D">
            <w:pPr>
              <w:pBdr>
                <w:top w:val="nil"/>
                <w:left w:val="nil"/>
                <w:bottom w:val="nil"/>
                <w:right w:val="nil"/>
                <w:between w:val="nil"/>
              </w:pBdr>
              <w:rPr>
                <w:b/>
                <w:color w:val="971D20" w:themeColor="accent3"/>
                <w:sz w:val="22"/>
                <w:szCs w:val="22"/>
              </w:rPr>
            </w:pPr>
            <w:r w:rsidRPr="004E154D">
              <w:rPr>
                <w:b/>
                <w:color w:val="971D20" w:themeColor="accent3"/>
                <w:sz w:val="22"/>
                <w:szCs w:val="22"/>
              </w:rPr>
              <w:t>Causes/Conflicts:</w:t>
            </w:r>
          </w:p>
          <w:p w14:paraId="6709A627"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White setters expand into Cheyenne territory.</w:t>
            </w:r>
          </w:p>
          <w:p w14:paraId="78381163"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 xml:space="preserve">U.S. reservation policy required traditionally </w:t>
            </w:r>
            <w:proofErr w:type="spellStart"/>
            <w:r w:rsidRPr="004E154D">
              <w:rPr>
                <w:sz w:val="22"/>
                <w:szCs w:val="22"/>
              </w:rPr>
              <w:t>nomaid</w:t>
            </w:r>
            <w:proofErr w:type="spellEnd"/>
            <w:r w:rsidRPr="004E154D">
              <w:rPr>
                <w:sz w:val="22"/>
                <w:szCs w:val="22"/>
              </w:rPr>
              <w:t xml:space="preserve"> peoples to live in small, designated tracts of land.</w:t>
            </w:r>
          </w:p>
          <w:p w14:paraId="1A000066"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United States broke treaties when they failed to provide food and supplies to tribes.</w:t>
            </w:r>
          </w:p>
          <w:p w14:paraId="0D1BFF15"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Some Cheyenne and members of other tribes left the established reservation boundaries for hunting and, in some cases, to raid white settlements.</w:t>
            </w:r>
          </w:p>
          <w:p w14:paraId="06157AAF"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The winter campaign was intended to force the Cheyenne and other tribes to move to their reservations.</w:t>
            </w:r>
          </w:p>
        </w:tc>
        <w:tc>
          <w:tcPr>
            <w:tcW w:w="5133" w:type="dxa"/>
            <w:gridSpan w:val="2"/>
            <w:vMerge w:val="restart"/>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01104BF1" w14:textId="77777777" w:rsidR="004E154D" w:rsidRPr="004E154D" w:rsidRDefault="004E154D" w:rsidP="004E154D">
            <w:pPr>
              <w:pBdr>
                <w:top w:val="nil"/>
                <w:left w:val="nil"/>
                <w:bottom w:val="nil"/>
                <w:right w:val="nil"/>
                <w:between w:val="nil"/>
              </w:pBdr>
              <w:rPr>
                <w:b/>
                <w:color w:val="971D20" w:themeColor="accent3"/>
                <w:sz w:val="22"/>
                <w:szCs w:val="22"/>
              </w:rPr>
            </w:pPr>
            <w:r w:rsidRPr="004E154D">
              <w:rPr>
                <w:b/>
                <w:color w:val="971D20" w:themeColor="accent3"/>
                <w:sz w:val="22"/>
                <w:szCs w:val="22"/>
              </w:rPr>
              <w:t>Summary:</w:t>
            </w:r>
          </w:p>
          <w:p w14:paraId="693E1126" w14:textId="77777777" w:rsidR="004E154D" w:rsidRPr="004E154D" w:rsidRDefault="004E154D" w:rsidP="004E154D">
            <w:pPr>
              <w:pStyle w:val="AnswerKey"/>
              <w:spacing w:line="240" w:lineRule="auto"/>
              <w:rPr>
                <w:sz w:val="22"/>
                <w:szCs w:val="22"/>
              </w:rPr>
            </w:pPr>
            <w:proofErr w:type="gramStart"/>
            <w:r w:rsidRPr="004E154D">
              <w:rPr>
                <w:sz w:val="22"/>
                <w:szCs w:val="22"/>
              </w:rPr>
              <w:t>In an effort to</w:t>
            </w:r>
            <w:proofErr w:type="gramEnd"/>
            <w:r w:rsidRPr="004E154D">
              <w:rPr>
                <w:sz w:val="22"/>
                <w:szCs w:val="22"/>
              </w:rPr>
              <w:t xml:space="preserve"> surprise the Cheyenne, Custer and his troops split into four groups, surrounded the camp, and charged in at dawn. Caught off guard, the Cheyenne put up very little resistance, and within minutes, the U.S. Army had control of the camp and secured a victory. Once the fighting was done, Custer ordered that the camp be burned, including lodgings, food, and supplies. Additionally, he ordered the herd of Cheyenne horses to be slaughtered.</w:t>
            </w:r>
          </w:p>
        </w:tc>
      </w:tr>
      <w:tr w:rsidR="004E154D" w:rsidRPr="004E154D" w14:paraId="63E00F6D" w14:textId="77777777" w:rsidTr="004E154D">
        <w:trPr>
          <w:trHeight w:val="2040"/>
        </w:trPr>
        <w:tc>
          <w:tcPr>
            <w:tcW w:w="7732" w:type="dxa"/>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57BD8D31" w14:textId="77777777" w:rsidR="004E154D" w:rsidRPr="004E154D" w:rsidRDefault="004E154D" w:rsidP="004E154D">
            <w:pPr>
              <w:pBdr>
                <w:top w:val="nil"/>
                <w:left w:val="nil"/>
                <w:bottom w:val="nil"/>
                <w:right w:val="nil"/>
                <w:between w:val="nil"/>
              </w:pBdr>
              <w:rPr>
                <w:b/>
                <w:color w:val="971D20" w:themeColor="accent3"/>
                <w:sz w:val="22"/>
                <w:szCs w:val="22"/>
              </w:rPr>
            </w:pPr>
            <w:r w:rsidRPr="004E154D">
              <w:rPr>
                <w:b/>
                <w:color w:val="971D20" w:themeColor="accent3"/>
                <w:sz w:val="22"/>
                <w:szCs w:val="22"/>
              </w:rPr>
              <w:t>Effects/Resolution:</w:t>
            </w:r>
          </w:p>
          <w:p w14:paraId="1DDE82FE"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This massacre was considered a victory for Custer and the U.S. Army.</w:t>
            </w:r>
          </w:p>
          <w:p w14:paraId="7C541D37"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Cheyenne men, women, and children were killed, including peace chief Black Kettle.</w:t>
            </w:r>
          </w:p>
          <w:p w14:paraId="41F1CA1B"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The Cheyenne lost their homes, food supply, horses, and other supplies.</w:t>
            </w:r>
          </w:p>
          <w:p w14:paraId="73E342B3" w14:textId="77777777" w:rsidR="004E154D" w:rsidRPr="004E154D" w:rsidRDefault="004E154D" w:rsidP="004E154D">
            <w:pPr>
              <w:pStyle w:val="AnswerKey"/>
              <w:numPr>
                <w:ilvl w:val="0"/>
                <w:numId w:val="7"/>
              </w:numPr>
              <w:spacing w:after="100" w:afterAutospacing="1" w:line="240" w:lineRule="auto"/>
              <w:ind w:left="360"/>
              <w:rPr>
                <w:sz w:val="22"/>
                <w:szCs w:val="22"/>
              </w:rPr>
            </w:pPr>
            <w:r w:rsidRPr="004E154D">
              <w:rPr>
                <w:sz w:val="22"/>
                <w:szCs w:val="22"/>
              </w:rPr>
              <w:t>This loss helped to “persuade” the Cheyenne to move to their reservation.</w:t>
            </w:r>
          </w:p>
        </w:tc>
        <w:tc>
          <w:tcPr>
            <w:tcW w:w="5133" w:type="dxa"/>
            <w:gridSpan w:val="2"/>
            <w:vMerge/>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7082C582" w14:textId="77777777" w:rsidR="004E154D" w:rsidRPr="004E154D" w:rsidRDefault="004E154D" w:rsidP="004E154D">
            <w:pPr>
              <w:widowControl w:val="0"/>
              <w:pBdr>
                <w:top w:val="nil"/>
                <w:left w:val="nil"/>
                <w:bottom w:val="nil"/>
                <w:right w:val="nil"/>
                <w:between w:val="nil"/>
              </w:pBdr>
              <w:rPr>
                <w:i/>
                <w:color w:val="3E5C61"/>
                <w:sz w:val="22"/>
                <w:szCs w:val="22"/>
              </w:rPr>
            </w:pPr>
          </w:p>
        </w:tc>
      </w:tr>
      <w:tr w:rsidR="004E154D" w:rsidRPr="004E154D" w14:paraId="2C205BC0" w14:textId="77777777" w:rsidTr="004E154D">
        <w:trPr>
          <w:trHeight w:val="1376"/>
        </w:trPr>
        <w:tc>
          <w:tcPr>
            <w:tcW w:w="12865" w:type="dxa"/>
            <w:gridSpan w:val="3"/>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25BCA489" w14:textId="77777777" w:rsidR="004E154D" w:rsidRPr="004E154D" w:rsidRDefault="004E154D" w:rsidP="004E154D">
            <w:pPr>
              <w:pBdr>
                <w:top w:val="nil"/>
                <w:left w:val="nil"/>
                <w:bottom w:val="nil"/>
                <w:right w:val="nil"/>
                <w:between w:val="nil"/>
              </w:pBdr>
              <w:rPr>
                <w:b/>
                <w:color w:val="971D20" w:themeColor="accent3"/>
                <w:sz w:val="22"/>
                <w:szCs w:val="22"/>
              </w:rPr>
            </w:pPr>
            <w:r w:rsidRPr="004E154D">
              <w:rPr>
                <w:b/>
                <w:color w:val="971D20" w:themeColor="accent3"/>
                <w:sz w:val="22"/>
                <w:szCs w:val="22"/>
              </w:rPr>
              <w:t>Significance:</w:t>
            </w:r>
          </w:p>
          <w:p w14:paraId="5100F0BD" w14:textId="77777777" w:rsidR="004E154D" w:rsidRPr="004E154D" w:rsidRDefault="004E154D" w:rsidP="004E154D">
            <w:pPr>
              <w:pStyle w:val="AnswerKey"/>
              <w:spacing w:line="240" w:lineRule="auto"/>
              <w:rPr>
                <w:sz w:val="22"/>
                <w:szCs w:val="22"/>
              </w:rPr>
            </w:pPr>
            <w:r w:rsidRPr="004E154D">
              <w:rPr>
                <w:sz w:val="22"/>
                <w:szCs w:val="22"/>
              </w:rPr>
              <w:t xml:space="preserve">The Washita Massacre is significant because it was part of the larger winter campaign that forced tribes, including the Cheyenne, to move to reservations, thus </w:t>
            </w:r>
            <w:proofErr w:type="gramStart"/>
            <w:r w:rsidRPr="004E154D">
              <w:rPr>
                <w:sz w:val="22"/>
                <w:szCs w:val="22"/>
              </w:rPr>
              <w:t>opening up</w:t>
            </w:r>
            <w:proofErr w:type="gramEnd"/>
            <w:r w:rsidRPr="004E154D">
              <w:rPr>
                <w:sz w:val="22"/>
                <w:szCs w:val="22"/>
              </w:rPr>
              <w:t xml:space="preserve"> more land for white settlement. Being forced to move to reservations, tribes like the Cheyenne had their land taken and their cultures and sovereignty attacked and weakened.</w:t>
            </w:r>
          </w:p>
        </w:tc>
      </w:tr>
    </w:tbl>
    <w:p w14:paraId="7A378CBA" w14:textId="0B80EB55" w:rsidR="00F33303" w:rsidRPr="004E154D" w:rsidRDefault="00F33303" w:rsidP="004E154D">
      <w:pPr>
        <w:pStyle w:val="Title"/>
      </w:pPr>
    </w:p>
    <w:p w14:paraId="7308BE0C" w14:textId="77777777" w:rsidR="00A2342E" w:rsidRPr="004E154D" w:rsidRDefault="00A2342E" w:rsidP="00F33303">
      <w:pPr>
        <w:rPr>
          <w:sz w:val="22"/>
          <w:szCs w:val="22"/>
        </w:rPr>
      </w:pPr>
    </w:p>
    <w:sectPr w:rsidR="00A2342E" w:rsidRPr="004E154D" w:rsidSect="009A4615">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44B0" w14:textId="77777777" w:rsidR="00C7393F" w:rsidRDefault="00C7393F" w:rsidP="009A4615">
      <w:pPr>
        <w:spacing w:after="0" w:line="240" w:lineRule="auto"/>
      </w:pPr>
      <w:r>
        <w:separator/>
      </w:r>
    </w:p>
  </w:endnote>
  <w:endnote w:type="continuationSeparator" w:id="0">
    <w:p w14:paraId="51F8927D" w14:textId="77777777" w:rsidR="00C7393F" w:rsidRDefault="00C7393F"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43F1"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7045B957">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0046561D" w14:textId="40745D12" w:rsidR="00D04F53" w:rsidRPr="00C76450" w:rsidRDefault="00FA61F8" w:rsidP="00C76450">
                          <w:pPr>
                            <w:pStyle w:val="Footer"/>
                          </w:pPr>
                          <w:r>
                            <w:t>the washita massacre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26"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" filled="f" stroked="f" strokeweight=".5pt">
              <v:textbox style="mso-fit-shape-to-text:t">
                <w:txbxContent>
                  <w:p w14:paraId="0046561D" w14:textId="40745D12" w:rsidR="00D04F53" w:rsidRPr="00C76450" w:rsidRDefault="00FA61F8" w:rsidP="00C76450">
                    <w:pPr>
                      <w:pStyle w:val="Footer"/>
                    </w:pPr>
                    <w:r>
                      <w:t>the washita massacre</w:t>
                    </w: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DB9B" w14:textId="77777777" w:rsidR="00C7393F" w:rsidRDefault="00C7393F" w:rsidP="009A4615">
      <w:pPr>
        <w:spacing w:after="0" w:line="240" w:lineRule="auto"/>
      </w:pPr>
      <w:r>
        <w:separator/>
      </w:r>
    </w:p>
  </w:footnote>
  <w:footnote w:type="continuationSeparator" w:id="0">
    <w:p w14:paraId="45EA0A50" w14:textId="77777777" w:rsidR="00C7393F" w:rsidRDefault="00C7393F" w:rsidP="009A4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6647" w14:textId="5AFE858E" w:rsidR="004E154D" w:rsidRDefault="004E154D" w:rsidP="004E154D">
    <w:pPr>
      <w:pStyle w:val="Title"/>
    </w:pPr>
    <w:r w:rsidRPr="004E154D">
      <w:t>HISTORY FRAME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3EB7"/>
    <w:multiLevelType w:val="multilevel"/>
    <w:tmpl w:val="8982A0A4"/>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348502C4"/>
    <w:multiLevelType w:val="multilevel"/>
    <w:tmpl w:val="7F5C76A2"/>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0900C3"/>
    <w:multiLevelType w:val="hybridMultilevel"/>
    <w:tmpl w:val="DBFC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771E3"/>
    <w:multiLevelType w:val="hybridMultilevel"/>
    <w:tmpl w:val="D7EAEA54"/>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6"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6"/>
  </w:num>
  <w:num w:numId="2" w16cid:durableId="1771200790">
    <w:abstractNumId w:val="4"/>
  </w:num>
  <w:num w:numId="3" w16cid:durableId="729034853">
    <w:abstractNumId w:val="2"/>
  </w:num>
  <w:num w:numId="4" w16cid:durableId="959144996">
    <w:abstractNumId w:val="1"/>
  </w:num>
  <w:num w:numId="5" w16cid:durableId="1157114859">
    <w:abstractNumId w:val="0"/>
  </w:num>
  <w:num w:numId="6" w16cid:durableId="351036885">
    <w:abstractNumId w:val="5"/>
  </w:num>
  <w:num w:numId="7" w16cid:durableId="69534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01"/>
    <w:rsid w:val="00065807"/>
    <w:rsid w:val="000A6A2A"/>
    <w:rsid w:val="00100D01"/>
    <w:rsid w:val="0011355B"/>
    <w:rsid w:val="00151CCF"/>
    <w:rsid w:val="001A3F95"/>
    <w:rsid w:val="001B5BA6"/>
    <w:rsid w:val="001C0115"/>
    <w:rsid w:val="001E6BCA"/>
    <w:rsid w:val="00246BC1"/>
    <w:rsid w:val="00256652"/>
    <w:rsid w:val="002574A4"/>
    <w:rsid w:val="00316C07"/>
    <w:rsid w:val="0032364F"/>
    <w:rsid w:val="003668DB"/>
    <w:rsid w:val="00424E6B"/>
    <w:rsid w:val="00467B1F"/>
    <w:rsid w:val="00480109"/>
    <w:rsid w:val="004856EB"/>
    <w:rsid w:val="0048595C"/>
    <w:rsid w:val="004E154D"/>
    <w:rsid w:val="005448C2"/>
    <w:rsid w:val="00555159"/>
    <w:rsid w:val="005716BA"/>
    <w:rsid w:val="005A3A1A"/>
    <w:rsid w:val="0063271E"/>
    <w:rsid w:val="006669F0"/>
    <w:rsid w:val="006F637F"/>
    <w:rsid w:val="00706181"/>
    <w:rsid w:val="007F4DDC"/>
    <w:rsid w:val="00823713"/>
    <w:rsid w:val="00843190"/>
    <w:rsid w:val="00886FBD"/>
    <w:rsid w:val="00912773"/>
    <w:rsid w:val="009A4615"/>
    <w:rsid w:val="009A4DFF"/>
    <w:rsid w:val="00A2342E"/>
    <w:rsid w:val="00A43081"/>
    <w:rsid w:val="00A71218"/>
    <w:rsid w:val="00AB30CE"/>
    <w:rsid w:val="00AD0F89"/>
    <w:rsid w:val="00BE33F2"/>
    <w:rsid w:val="00BE5865"/>
    <w:rsid w:val="00C53852"/>
    <w:rsid w:val="00C7393F"/>
    <w:rsid w:val="00C76450"/>
    <w:rsid w:val="00C86A74"/>
    <w:rsid w:val="00D04F53"/>
    <w:rsid w:val="00D71FBC"/>
    <w:rsid w:val="00DD3628"/>
    <w:rsid w:val="00DD436F"/>
    <w:rsid w:val="00DE0B48"/>
    <w:rsid w:val="00DE2E5E"/>
    <w:rsid w:val="00DE625C"/>
    <w:rsid w:val="00E46C11"/>
    <w:rsid w:val="00E47923"/>
    <w:rsid w:val="00EF0DD6"/>
    <w:rsid w:val="00F33303"/>
    <w:rsid w:val="00F35875"/>
    <w:rsid w:val="00F64B76"/>
    <w:rsid w:val="00F81E6C"/>
    <w:rsid w:val="00FA61F8"/>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B8655"/>
  <w15:chartTrackingRefBased/>
  <w15:docId w15:val="{FC6B37C2-843E-4360-A691-4B746D27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3303"/>
    <w:rPr>
      <w:rFonts w:ascii="Calibri" w:hAnsi="Calibri" w:cs="Calibri"/>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semiHidden/>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 w:type="table" w:styleId="TableGrid">
    <w:name w:val="Table Grid"/>
    <w:basedOn w:val="TableNormal"/>
    <w:uiPriority w:val="39"/>
    <w:rsid w:val="00FA61F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
    <w:name w:val="Row Header"/>
    <w:basedOn w:val="Normal"/>
    <w:qFormat/>
    <w:rsid w:val="00FA61F8"/>
    <w:pPr>
      <w:spacing w:after="0" w:line="240" w:lineRule="auto"/>
    </w:pPr>
    <w:rPr>
      <w:rFonts w:asciiTheme="minorHAnsi" w:hAnsiTheme="minorHAnsi" w:cstheme="minorBidi"/>
      <w:b/>
      <w:color w:val="288AC3" w:themeColor="accent1"/>
      <w:kern w:val="0"/>
      <w:szCs w:val="22"/>
      <w14:ligatures w14:val="none"/>
    </w:rPr>
  </w:style>
  <w:style w:type="paragraph" w:customStyle="1" w:styleId="TableBody">
    <w:name w:val="Table Body"/>
    <w:basedOn w:val="Normal"/>
    <w:qFormat/>
    <w:rsid w:val="00FA61F8"/>
    <w:pPr>
      <w:spacing w:after="0" w:line="240" w:lineRule="auto"/>
    </w:pPr>
    <w:rPr>
      <w:rFonts w:asciiTheme="minorHAnsi" w:hAnsiTheme="minorHAnsi" w:cstheme="minorBidi"/>
      <w:kern w:val="0"/>
      <w:szCs w:val="22"/>
      <w14:ligatures w14:val="none"/>
    </w:rPr>
  </w:style>
  <w:style w:type="paragraph" w:customStyle="1" w:styleId="TableColumnHeaders">
    <w:name w:val="Table Column Headers"/>
    <w:basedOn w:val="Normal"/>
    <w:link w:val="TableColumnHeadersChar"/>
    <w:autoRedefine/>
    <w:qFormat/>
    <w:rsid w:val="00A2342E"/>
    <w:pPr>
      <w:spacing w:after="0" w:line="240" w:lineRule="auto"/>
      <w:jc w:val="center"/>
    </w:pPr>
    <w:rPr>
      <w:rFonts w:asciiTheme="majorHAnsi" w:eastAsia="Calibri" w:hAnsiTheme="majorHAnsi"/>
      <w:b/>
      <w:color w:val="FFFFFF" w:themeColor="background1"/>
      <w:kern w:val="0"/>
      <w14:ligatures w14:val="none"/>
    </w:rPr>
  </w:style>
  <w:style w:type="character" w:customStyle="1" w:styleId="TableColumnHeadersChar">
    <w:name w:val="Table Column Headers Char"/>
    <w:basedOn w:val="DefaultParagraphFont"/>
    <w:link w:val="TableColumnHeaders"/>
    <w:rsid w:val="00A2342E"/>
    <w:rPr>
      <w:rFonts w:asciiTheme="majorHAnsi" w:eastAsia="Calibri" w:hAnsiTheme="majorHAnsi" w:cs="Calibri"/>
      <w:b/>
      <w:color w:val="FFFFFF" w:themeColor="background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2322AD5BCA94E88C2CE44F56E0141" ma:contentTypeVersion="15" ma:contentTypeDescription="Create a new document." ma:contentTypeScope="" ma:versionID="e53ddc16c172f44b026d557469160f2a">
  <xsd:schema xmlns:xsd="http://www.w3.org/2001/XMLSchema" xmlns:xs="http://www.w3.org/2001/XMLSchema" xmlns:p="http://schemas.microsoft.com/office/2006/metadata/properties" xmlns:ns3="2870a5bf-11bb-4605-bf2d-a3aa9c9b9dc6" xmlns:ns4="42c0a794-c6a0-4cc5-a7e8-ff74972d7dc6" targetNamespace="http://schemas.microsoft.com/office/2006/metadata/properties" ma:root="true" ma:fieldsID="1298bb6156a8041e34cd3105233364f0" ns3:_="" ns4:_="">
    <xsd:import namespace="2870a5bf-11bb-4605-bf2d-a3aa9c9b9dc6"/>
    <xsd:import namespace="42c0a794-c6a0-4cc5-a7e8-ff74972d7d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0a5bf-11bb-4605-bf2d-a3aa9c9b9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0a794-c6a0-4cc5-a7e8-ff74972d7d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870a5bf-11bb-4605-bf2d-a3aa9c9b9d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8B6F5-141E-40C4-84ED-DCDF626D9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0a5bf-11bb-4605-bf2d-a3aa9c9b9dc6"/>
    <ds:schemaRef ds:uri="42c0a794-c6a0-4cc5-a7e8-ff74972d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EC0F3-CEFC-4233-B90E-9155F9C26387}">
  <ds:schemaRefs>
    <ds:schemaRef ds:uri="http://schemas.microsoft.com/office/2006/metadata/properties"/>
    <ds:schemaRef ds:uri="http://schemas.microsoft.com/office/infopath/2007/PartnerControls"/>
    <ds:schemaRef ds:uri="2870a5bf-11bb-4605-bf2d-a3aa9c9b9dc6"/>
  </ds:schemaRefs>
</ds:datastoreItem>
</file>

<file path=customXml/itemProps3.xml><?xml version="1.0" encoding="utf-8"?>
<ds:datastoreItem xmlns:ds="http://schemas.openxmlformats.org/officeDocument/2006/customXml" ds:itemID="{17034293-564B-43FF-BDB3-73F0E60D9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C:\Users\lieu0002\Documents\Custom Office Templates\Horizontal (25)—Template.dotx</Template>
  <TotalTime>0</TotalTime>
  <Pages>1</Pages>
  <Words>293</Words>
  <Characters>1585</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The Washita Massacre</vt:lpstr>
    </vt:vector>
  </TitlesOfParts>
  <Manager/>
  <Company/>
  <LinksUpToDate>false</LinksUpToDate>
  <CharactersWithSpaces>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Washita Massacre</dc:title>
  <dc:subject/>
  <dc:creator>K20 Center</dc:creator>
  <cp:keywords/>
  <dc:description/>
  <cp:lastModifiedBy>Gracia, Ann M.</cp:lastModifiedBy>
  <cp:revision>3</cp:revision>
  <cp:lastPrinted>2026-02-26T21:14:00Z</cp:lastPrinted>
  <dcterms:created xsi:type="dcterms:W3CDTF">2026-02-26T21:14:00Z</dcterms:created>
  <dcterms:modified xsi:type="dcterms:W3CDTF">2026-02-26T21:14:00Z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0x010100AA02322AD5BCA94E88C2CE44F56E0141</vt:lpwstr>
  </property>
</Properties>
</file>