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50B87" w14:paraId="5824B278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095E3445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Aptitud física</w:t>
            </w:r>
          </w:p>
        </w:tc>
        <w:tc>
          <w:tcPr>
            <w:tcW w:w="3600" w:type="dxa"/>
            <w:vAlign w:val="center"/>
          </w:tcPr>
          <w:p w14:paraId="7E07E2A0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Genes</w:t>
            </w:r>
          </w:p>
        </w:tc>
        <w:tc>
          <w:tcPr>
            <w:tcW w:w="3600" w:type="dxa"/>
            <w:vAlign w:val="center"/>
          </w:tcPr>
          <w:p w14:paraId="0F8E10BC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Variación genética</w:t>
            </w:r>
          </w:p>
        </w:tc>
      </w:tr>
      <w:tr w:rsidR="00450B87" w14:paraId="335EC2A2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12DF8BF3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Mutación</w:t>
            </w:r>
          </w:p>
        </w:tc>
        <w:tc>
          <w:tcPr>
            <w:tcW w:w="3600" w:type="dxa"/>
            <w:vAlign w:val="center"/>
          </w:tcPr>
          <w:p w14:paraId="2508A167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Selección natural</w:t>
            </w:r>
          </w:p>
        </w:tc>
        <w:tc>
          <w:tcPr>
            <w:tcW w:w="3600" w:type="dxa"/>
            <w:vAlign w:val="center"/>
          </w:tcPr>
          <w:p w14:paraId="5724A1C4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Selección artificial</w:t>
            </w:r>
          </w:p>
        </w:tc>
      </w:tr>
      <w:tr w:rsidR="00450B87" w14:paraId="5452B0AB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555D7FF1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Población</w:t>
            </w:r>
          </w:p>
        </w:tc>
        <w:tc>
          <w:tcPr>
            <w:tcW w:w="3600" w:type="dxa"/>
            <w:vAlign w:val="center"/>
          </w:tcPr>
          <w:p w14:paraId="7F021823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Presión de selección</w:t>
            </w:r>
          </w:p>
        </w:tc>
        <w:tc>
          <w:tcPr>
            <w:tcW w:w="3600" w:type="dxa"/>
            <w:vAlign w:val="center"/>
          </w:tcPr>
          <w:p w14:paraId="0E6503E2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Rasgo</w:t>
            </w:r>
          </w:p>
        </w:tc>
      </w:tr>
      <w:tr w:rsidR="00450B87" w14:paraId="41FE6E61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03507979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lastRenderedPageBreak/>
              <w:t>La capacidad de un individuo para sobrevivir y reproducir una descendencia viable en su entorno específico</w:t>
            </w:r>
          </w:p>
        </w:tc>
        <w:tc>
          <w:tcPr>
            <w:tcW w:w="3600" w:type="dxa"/>
            <w:vAlign w:val="center"/>
          </w:tcPr>
          <w:p w14:paraId="4150D945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Los genes son instrucciones codificadas de ADN que controlan la producción de proteínas dentro de la célula.</w:t>
            </w:r>
          </w:p>
        </w:tc>
        <w:tc>
          <w:tcPr>
            <w:tcW w:w="3600" w:type="dxa"/>
            <w:vAlign w:val="center"/>
          </w:tcPr>
          <w:p w14:paraId="55ABFC64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Diferencias en los alelos de los genes entre los individuos de una población</w:t>
            </w:r>
          </w:p>
        </w:tc>
      </w:tr>
      <w:tr w:rsidR="00450B87" w14:paraId="75CAE1F2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58DD6836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Las mutaciones son cualquier cambio en el material genético de un organismo.</w:t>
            </w:r>
          </w:p>
        </w:tc>
        <w:tc>
          <w:tcPr>
            <w:tcW w:w="3600" w:type="dxa"/>
            <w:vAlign w:val="center"/>
          </w:tcPr>
          <w:p w14:paraId="40F3CBD0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Proceso por el cual los individuos mejor adaptados a su entorno sobreviven y se reproducen con mayor éxito</w:t>
            </w:r>
          </w:p>
        </w:tc>
        <w:tc>
          <w:tcPr>
            <w:tcW w:w="3600" w:type="dxa"/>
            <w:vAlign w:val="center"/>
          </w:tcPr>
          <w:p w14:paraId="63DECF7D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Selección por parte de los seres humanos para la obtención de rasgos útiles a partir de la variación natural de un organismo</w:t>
            </w:r>
          </w:p>
        </w:tc>
      </w:tr>
      <w:tr w:rsidR="00450B87" w14:paraId="593A9B7B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034B0491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Grupo de individuos de la misma especie que viven en la misma zona; las bacterias de la placa de Petri constituyen una población</w:t>
            </w:r>
          </w:p>
        </w:tc>
        <w:tc>
          <w:tcPr>
            <w:tcW w:w="3600" w:type="dxa"/>
            <w:vAlign w:val="center"/>
          </w:tcPr>
          <w:p w14:paraId="6FFAE7B2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Cualquier elemento del entorno de una población que hace que ciertos rasgos sean más beneficiosos que otros</w:t>
            </w:r>
          </w:p>
        </w:tc>
        <w:tc>
          <w:tcPr>
            <w:tcW w:w="3600" w:type="dxa"/>
            <w:vAlign w:val="center"/>
          </w:tcPr>
          <w:p w14:paraId="07977A47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Una característica específica que varía de un individuo a otro; la resistencia a los antibióticos y la velocidad de reproducción lenta son rasgos que pueden tener diferentes bacterias</w:t>
            </w:r>
          </w:p>
        </w:tc>
      </w:tr>
      <w:tr w:rsidR="00450B87" w14:paraId="12D87723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386BA589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lastRenderedPageBreak/>
              <w:t>Antibiótico</w:t>
            </w:r>
          </w:p>
        </w:tc>
        <w:tc>
          <w:tcPr>
            <w:tcW w:w="3600" w:type="dxa"/>
            <w:vAlign w:val="center"/>
          </w:tcPr>
          <w:p w14:paraId="14BA492C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Cepa</w:t>
            </w:r>
          </w:p>
        </w:tc>
        <w:tc>
          <w:tcPr>
            <w:tcW w:w="3600" w:type="dxa"/>
            <w:vAlign w:val="center"/>
          </w:tcPr>
          <w:p w14:paraId="4995CCA3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ADN</w:t>
            </w:r>
          </w:p>
        </w:tc>
      </w:tr>
      <w:tr w:rsidR="00450B87" w14:paraId="3BF94605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155F3F1A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Resistencia a los antibióticos</w:t>
            </w:r>
          </w:p>
        </w:tc>
        <w:tc>
          <w:tcPr>
            <w:tcW w:w="3600" w:type="dxa"/>
            <w:vAlign w:val="center"/>
          </w:tcPr>
          <w:p w14:paraId="02048391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Adaptación</w:t>
            </w:r>
          </w:p>
        </w:tc>
        <w:tc>
          <w:tcPr>
            <w:tcW w:w="3600" w:type="dxa"/>
            <w:vAlign w:val="center"/>
          </w:tcPr>
          <w:p w14:paraId="02381138" w14:textId="77777777" w:rsidR="00450B87" w:rsidRDefault="00450B87" w:rsidP="00CF4187">
            <w:pPr>
              <w:jc w:val="center"/>
            </w:pPr>
          </w:p>
        </w:tc>
      </w:tr>
      <w:tr w:rsidR="00450B87" w14:paraId="7675A76D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650012E3" w14:textId="77777777" w:rsidR="00450B87" w:rsidRDefault="00450B87" w:rsidP="00CF4187">
            <w:pPr>
              <w:jc w:val="center"/>
            </w:pPr>
          </w:p>
        </w:tc>
        <w:tc>
          <w:tcPr>
            <w:tcW w:w="3600" w:type="dxa"/>
            <w:vAlign w:val="center"/>
          </w:tcPr>
          <w:p w14:paraId="4EE1884C" w14:textId="77777777" w:rsidR="00450B87" w:rsidRDefault="00450B87" w:rsidP="00CF4187">
            <w:pPr>
              <w:jc w:val="center"/>
            </w:pPr>
          </w:p>
        </w:tc>
        <w:tc>
          <w:tcPr>
            <w:tcW w:w="3600" w:type="dxa"/>
            <w:vAlign w:val="center"/>
          </w:tcPr>
          <w:p w14:paraId="3D36B2C9" w14:textId="77777777" w:rsidR="00450B87" w:rsidRDefault="00450B87" w:rsidP="00CF4187">
            <w:pPr>
              <w:jc w:val="center"/>
            </w:pPr>
          </w:p>
        </w:tc>
      </w:tr>
      <w:tr w:rsidR="00450B87" w14:paraId="16FE83B6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1AA4FBB5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lastRenderedPageBreak/>
              <w:t>Los antibióticos son compuestos químicos que bloquean el crecimiento y la reproducción de las bacterias.</w:t>
            </w:r>
          </w:p>
        </w:tc>
        <w:tc>
          <w:tcPr>
            <w:tcW w:w="3600" w:type="dxa"/>
            <w:vAlign w:val="center"/>
          </w:tcPr>
          <w:p w14:paraId="46591303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Una variación en una especie concreta que posee pequeñas diferencias pero que sigue siendo distinguible</w:t>
            </w:r>
          </w:p>
        </w:tc>
        <w:tc>
          <w:tcPr>
            <w:tcW w:w="3600" w:type="dxa"/>
            <w:vAlign w:val="center"/>
          </w:tcPr>
          <w:p w14:paraId="623B4622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La molécula que lleva las instrucciones genéticas utilizadas en el desarrollo y la función de todos los seres vivos conocidos</w:t>
            </w:r>
          </w:p>
        </w:tc>
      </w:tr>
      <w:tr w:rsidR="00450B87" w14:paraId="3B23529B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3D0F8C2C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Un rasgo desarrollado a través de una mutación que permite a una bacteria resistir los efectos de la medicación utilizada para tratarla</w:t>
            </w:r>
          </w:p>
        </w:tc>
        <w:tc>
          <w:tcPr>
            <w:tcW w:w="3600" w:type="dxa"/>
            <w:vAlign w:val="center"/>
          </w:tcPr>
          <w:p w14:paraId="18815086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s"/>
              </w:rPr>
              <w:t>Un rasgo que mejora la aptitud y la supervivencia de una especie en su entorno</w:t>
            </w:r>
          </w:p>
        </w:tc>
        <w:tc>
          <w:tcPr>
            <w:tcW w:w="3600" w:type="dxa"/>
            <w:vAlign w:val="center"/>
          </w:tcPr>
          <w:p w14:paraId="33FAE4AB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</w:p>
        </w:tc>
      </w:tr>
      <w:tr w:rsidR="00450B87" w14:paraId="0139176B" w14:textId="77777777" w:rsidTr="00010FB4">
        <w:trPr>
          <w:cantSplit/>
          <w:trHeight w:val="4320"/>
        </w:trPr>
        <w:tc>
          <w:tcPr>
            <w:tcW w:w="3600" w:type="dxa"/>
            <w:vAlign w:val="center"/>
          </w:tcPr>
          <w:p w14:paraId="5524E005" w14:textId="77777777" w:rsidR="00450B87" w:rsidRDefault="00450B87" w:rsidP="00834489"/>
        </w:tc>
        <w:tc>
          <w:tcPr>
            <w:tcW w:w="3600" w:type="dxa"/>
            <w:vAlign w:val="center"/>
          </w:tcPr>
          <w:p w14:paraId="02B3063F" w14:textId="77777777" w:rsidR="00450B87" w:rsidRDefault="00450B87" w:rsidP="00834489"/>
        </w:tc>
        <w:tc>
          <w:tcPr>
            <w:tcW w:w="3600" w:type="dxa"/>
            <w:vAlign w:val="center"/>
          </w:tcPr>
          <w:p w14:paraId="29035DFA" w14:textId="77777777" w:rsidR="00450B87" w:rsidRDefault="00450B87" w:rsidP="00834489"/>
        </w:tc>
      </w:tr>
    </w:tbl>
    <w:p w14:paraId="064414F4" w14:textId="77777777" w:rsidR="00450B87" w:rsidRPr="00450B87" w:rsidRDefault="00450B87">
      <w:pPr>
        <w:rPr>
          <w:sz w:val="28"/>
          <w:szCs w:val="28"/>
        </w:rPr>
      </w:pPr>
    </w:p>
    <w:sectPr w:rsidR="00450B87" w:rsidRPr="00450B87" w:rsidSect="00010FB4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6E1B" w14:textId="77777777" w:rsidR="009F1EE7" w:rsidRDefault="009F1EE7" w:rsidP="00450B87">
      <w:pPr>
        <w:spacing w:after="0" w:line="240" w:lineRule="auto"/>
      </w:pPr>
      <w:r>
        <w:separator/>
      </w:r>
    </w:p>
  </w:endnote>
  <w:endnote w:type="continuationSeparator" w:id="0">
    <w:p w14:paraId="76A621B6" w14:textId="77777777" w:rsidR="009F1EE7" w:rsidRDefault="009F1EE7" w:rsidP="0045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81B2" w14:textId="77777777" w:rsidR="00450B87" w:rsidRPr="00450B87" w:rsidRDefault="00450B87" w:rsidP="00450B87">
    <w:pPr>
      <w:pStyle w:val="Footer"/>
      <w:tabs>
        <w:tab w:val="clear" w:pos="4680"/>
        <w:tab w:val="clear" w:pos="9360"/>
      </w:tabs>
      <w:ind w:right="1350"/>
      <w:jc w:val="right"/>
      <w:rPr>
        <w:b/>
      </w:rPr>
    </w:pPr>
    <w:r>
      <w:rPr>
        <w:noProof/>
        <w:color w:val="494949" w:themeColor="accent4" w:themeShade="BF"/>
        <w:lang w:val="es"/>
      </w:rPr>
      <w:drawing>
        <wp:anchor distT="0" distB="0" distL="114300" distR="114300" simplePos="0" relativeHeight="251659264" behindDoc="1" locked="0" layoutInCell="1" allowOverlap="1" wp14:anchorId="6F0FC045" wp14:editId="4A501AB7">
          <wp:simplePos x="0" y="0"/>
          <wp:positionH relativeFrom="column">
            <wp:posOffset>1828800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494949" w:themeColor="accent4" w:themeShade="BF"/>
        <w:lang w:val="es"/>
      </w:rPr>
      <w:t>LIFE IN A PETRI DISH</w:t>
    </w:r>
    <w:r>
      <w:rPr>
        <w:lang w:val="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DC70" w14:textId="77777777" w:rsidR="00646552" w:rsidRPr="00450B87" w:rsidRDefault="00646552" w:rsidP="00646552">
    <w:pPr>
      <w:pStyle w:val="Footer"/>
      <w:tabs>
        <w:tab w:val="clear" w:pos="4680"/>
        <w:tab w:val="clear" w:pos="9360"/>
      </w:tabs>
      <w:ind w:right="1350"/>
      <w:jc w:val="right"/>
      <w:rPr>
        <w:b/>
      </w:rPr>
    </w:pPr>
    <w:r>
      <w:rPr>
        <w:noProof/>
        <w:color w:val="494949" w:themeColor="accent4" w:themeShade="BF"/>
        <w:lang w:val="es"/>
      </w:rPr>
      <w:drawing>
        <wp:anchor distT="0" distB="0" distL="114300" distR="114300" simplePos="0" relativeHeight="251661312" behindDoc="1" locked="0" layoutInCell="1" allowOverlap="1" wp14:anchorId="19267906" wp14:editId="73FDA7D4">
          <wp:simplePos x="0" y="0"/>
          <wp:positionH relativeFrom="column">
            <wp:posOffset>1828800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70765358" name="Picture 70765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494949" w:themeColor="accent4" w:themeShade="BF"/>
        <w:lang w:val="es"/>
      </w:rPr>
      <w:t>LIFE IN A PETRI DISH</w:t>
    </w:r>
    <w:r>
      <w:rPr>
        <w:lang w:val="es"/>
      </w:rPr>
      <w:tab/>
    </w:r>
  </w:p>
  <w:p w14:paraId="764DFCAD" w14:textId="77777777" w:rsidR="00010FB4" w:rsidRDefault="00010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C521" w14:textId="77777777" w:rsidR="009F1EE7" w:rsidRDefault="009F1EE7" w:rsidP="00450B87">
      <w:pPr>
        <w:spacing w:after="0" w:line="240" w:lineRule="auto"/>
      </w:pPr>
      <w:r>
        <w:separator/>
      </w:r>
    </w:p>
  </w:footnote>
  <w:footnote w:type="continuationSeparator" w:id="0">
    <w:p w14:paraId="0DAC2A02" w14:textId="77777777" w:rsidR="009F1EE7" w:rsidRDefault="009F1EE7" w:rsidP="0045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EBB4" w14:textId="77777777" w:rsidR="00010FB4" w:rsidRDefault="00010FB4">
    <w:pPr>
      <w:pStyle w:val="Header"/>
    </w:pPr>
    <w:r>
      <w:rPr>
        <w:b/>
        <w:bCs/>
        <w:sz w:val="28"/>
        <w:szCs w:val="28"/>
        <w:lang w:val="es"/>
      </w:rPr>
      <w:t>TARJETAS CONCEPTUALES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87"/>
    <w:rsid w:val="00010FB4"/>
    <w:rsid w:val="000B257B"/>
    <w:rsid w:val="00100ACD"/>
    <w:rsid w:val="00245742"/>
    <w:rsid w:val="0029781B"/>
    <w:rsid w:val="00450B87"/>
    <w:rsid w:val="004C5C98"/>
    <w:rsid w:val="00646552"/>
    <w:rsid w:val="007A5390"/>
    <w:rsid w:val="009F1EE7"/>
    <w:rsid w:val="00C955FF"/>
    <w:rsid w:val="00CF4187"/>
    <w:rsid w:val="00D90790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9A9E4"/>
  <w15:chartTrackingRefBased/>
  <w15:docId w15:val="{50C322AA-FCB9-4A30-A917-E1B1663B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87"/>
  </w:style>
  <w:style w:type="paragraph" w:styleId="Footer">
    <w:name w:val="footer"/>
    <w:basedOn w:val="Normal"/>
    <w:link w:val="FooterChar"/>
    <w:uiPriority w:val="99"/>
    <w:unhideWhenUsed/>
    <w:rsid w:val="00450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276</Words>
  <Characters>1485</Characters>
  <Application>Microsoft Office Word</Application>
  <DocSecurity>0</DocSecurity>
  <Lines>123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in a Petri Dish</vt:lpstr>
    </vt:vector>
  </TitlesOfParts>
  <Manager/>
  <Company/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 Petri Dish</dc:title>
  <dc:subject/>
  <dc:creator>K20 Center</dc:creator>
  <cp:keywords/>
  <dc:description/>
  <cp:lastModifiedBy>Moharram, Jehanne</cp:lastModifiedBy>
  <cp:revision>4</cp:revision>
  <dcterms:created xsi:type="dcterms:W3CDTF">2024-06-12T15:08:00Z</dcterms:created>
  <dcterms:modified xsi:type="dcterms:W3CDTF">2024-06-12T15:10:00Z</dcterms:modified>
  <cp:category/>
</cp:coreProperties>
</file>