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313DE02" w14:textId="77777777" w:rsidR="00265CBE" w:rsidRPr="00CF2A1A" w:rsidRDefault="00265CBE">
      <w:pPr>
        <w:widowControl w:val="0"/>
        <w:pBdr>
          <w:top w:val="nil"/>
          <w:left w:val="nil"/>
          <w:bottom w:val="nil"/>
          <w:right w:val="nil"/>
          <w:between w:val="nil"/>
        </w:pBdr>
        <w:spacing w:after="0"/>
        <w:rPr>
          <w:rFonts w:ascii="Arial" w:eastAsia="Arial" w:hAnsi="Arial" w:cs="Arial"/>
          <w:color w:val="000000"/>
          <w:sz w:val="22"/>
          <w:szCs w:val="22"/>
          <w:lang w:val="es-CO"/>
        </w:rPr>
      </w:pPr>
    </w:p>
    <w:tbl>
      <w:tblPr>
        <w:tblStyle w:val="a0"/>
        <w:tblW w:w="129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88"/>
        <w:gridCol w:w="6488"/>
      </w:tblGrid>
      <w:tr w:rsidR="00265CBE" w:rsidRPr="00CF2A1A" w14:paraId="73586FB0" w14:textId="77777777">
        <w:trPr>
          <w:trHeight w:val="1794"/>
        </w:trPr>
        <w:tc>
          <w:tcPr>
            <w:tcW w:w="6488" w:type="dxa"/>
            <w:tcBorders>
              <w:top w:val="dashed" w:sz="12" w:space="0" w:color="BED7D3"/>
              <w:left w:val="dashed" w:sz="12" w:space="0" w:color="BED7D3"/>
              <w:bottom w:val="dashed" w:sz="12" w:space="0" w:color="BED7D3"/>
              <w:right w:val="dashed" w:sz="12" w:space="0" w:color="BED7D3"/>
            </w:tcBorders>
            <w:vAlign w:val="center"/>
          </w:tcPr>
          <w:p w14:paraId="6C38D7A7" w14:textId="77777777" w:rsidR="00265CBE" w:rsidRPr="00CF2A1A" w:rsidRDefault="00CF2A1A">
            <w:pPr>
              <w:jc w:val="center"/>
              <w:rPr>
                <w:lang w:val="es-CO"/>
              </w:rPr>
            </w:pPr>
            <w:r w:rsidRPr="00CF2A1A">
              <w:rPr>
                <w:lang w:val="es-CO"/>
              </w:rPr>
              <w:t>Se colocó a los participantes en situaciones de emergencia escenificadas en las que creían que alguien necesitaba ayuda, como una persona que sufría una convulsión o una habitación que se llenaba de humo. El objetivo era ver con qué rapidez la gente ayudaba o esperaba a que otra persona lo hiciera.</w:t>
            </w:r>
          </w:p>
        </w:tc>
        <w:tc>
          <w:tcPr>
            <w:tcW w:w="6488" w:type="dxa"/>
            <w:tcBorders>
              <w:top w:val="dashed" w:sz="12" w:space="0" w:color="BED7D3"/>
              <w:left w:val="dashed" w:sz="12" w:space="0" w:color="BED7D3"/>
              <w:bottom w:val="dashed" w:sz="12" w:space="0" w:color="BED7D3"/>
              <w:right w:val="dashed" w:sz="12" w:space="0" w:color="BED7D3"/>
            </w:tcBorders>
            <w:vAlign w:val="center"/>
          </w:tcPr>
          <w:p w14:paraId="5BB61535" w14:textId="77777777" w:rsidR="00265CBE" w:rsidRPr="00CF2A1A" w:rsidRDefault="00CF2A1A">
            <w:pPr>
              <w:jc w:val="center"/>
              <w:rPr>
                <w:lang w:val="es-CO"/>
              </w:rPr>
            </w:pPr>
            <w:r w:rsidRPr="00CF2A1A">
              <w:rPr>
                <w:lang w:val="es-CO"/>
              </w:rPr>
              <w:t>Se mostró a los participantes fotografías de personas y se les pidió que los calificaran según diversos rasgos de personalidad. Los participantes tendían a calificar a las personas que les parecían atractivas físicamente como si también tuvieran rasgos positivos de personalidad, incluso sin pruebas suficientes.</w:t>
            </w:r>
          </w:p>
        </w:tc>
      </w:tr>
      <w:tr w:rsidR="00265CBE" w:rsidRPr="00CF2A1A" w14:paraId="0176E18C" w14:textId="77777777">
        <w:trPr>
          <w:trHeight w:val="2464"/>
        </w:trPr>
        <w:tc>
          <w:tcPr>
            <w:tcW w:w="6488" w:type="dxa"/>
            <w:tcBorders>
              <w:top w:val="dashed" w:sz="12" w:space="0" w:color="BED7D3"/>
              <w:left w:val="dashed" w:sz="12" w:space="0" w:color="BED7D3"/>
              <w:bottom w:val="dashed" w:sz="12" w:space="0" w:color="BED7D3"/>
              <w:right w:val="dashed" w:sz="12" w:space="0" w:color="BED7D3"/>
            </w:tcBorders>
            <w:vAlign w:val="center"/>
          </w:tcPr>
          <w:p w14:paraId="22C1A02F" w14:textId="77777777" w:rsidR="00265CBE" w:rsidRPr="00CF2A1A" w:rsidRDefault="00CF2A1A">
            <w:pPr>
              <w:jc w:val="center"/>
              <w:rPr>
                <w:lang w:val="es-CO"/>
              </w:rPr>
            </w:pPr>
            <w:r w:rsidRPr="00CF2A1A">
              <w:rPr>
                <w:lang w:val="es-CO"/>
              </w:rPr>
              <w:t>Se pidió a los participantes que administraran descargas eléctricas cada vez más fuertes a otra persona (que en realidad era un actor que fingía sentir dolor) cada vez que esta persona respondía las preguntas de forma incorrecta. A pesar del aparente daño infligido, gran parte de los participantes siguieron administrando descargas, a menudo con el máximo voltaje, influenciados por la autoridad de la persona a cargo del experimento.</w:t>
            </w:r>
          </w:p>
        </w:tc>
        <w:tc>
          <w:tcPr>
            <w:tcW w:w="6488" w:type="dxa"/>
            <w:tcBorders>
              <w:top w:val="dashed" w:sz="12" w:space="0" w:color="BED7D3"/>
              <w:left w:val="dashed" w:sz="12" w:space="0" w:color="BED7D3"/>
              <w:bottom w:val="dashed" w:sz="12" w:space="0" w:color="BED7D3"/>
              <w:right w:val="dashed" w:sz="12" w:space="0" w:color="BED7D3"/>
            </w:tcBorders>
            <w:vAlign w:val="center"/>
          </w:tcPr>
          <w:p w14:paraId="792AFE9E" w14:textId="77777777" w:rsidR="00265CBE" w:rsidRPr="00CF2A1A" w:rsidRDefault="00CF2A1A">
            <w:pPr>
              <w:jc w:val="center"/>
              <w:rPr>
                <w:lang w:val="es-CO"/>
              </w:rPr>
            </w:pPr>
            <w:r w:rsidRPr="00CF2A1A">
              <w:rPr>
                <w:lang w:val="es-CO"/>
              </w:rPr>
              <w:t>Se ofreció a los niños la posibilidad de elegir entre un solo malvavisco al instante o dos malvaviscos si esperaban un breve periodo de tiempo (normalmente 15 minutos).</w:t>
            </w:r>
          </w:p>
        </w:tc>
      </w:tr>
      <w:tr w:rsidR="00265CBE" w:rsidRPr="00CF2A1A" w14:paraId="0D73ABFD" w14:textId="77777777">
        <w:trPr>
          <w:trHeight w:val="1794"/>
        </w:trPr>
        <w:tc>
          <w:tcPr>
            <w:tcW w:w="6488" w:type="dxa"/>
            <w:tcBorders>
              <w:top w:val="dashed" w:sz="12" w:space="0" w:color="BED7D3"/>
              <w:left w:val="dashed" w:sz="12" w:space="0" w:color="BED7D3"/>
              <w:bottom w:val="dashed" w:sz="12" w:space="0" w:color="BED7D3"/>
              <w:right w:val="dashed" w:sz="12" w:space="0" w:color="BED7D3"/>
            </w:tcBorders>
            <w:vAlign w:val="center"/>
          </w:tcPr>
          <w:p w14:paraId="48B76BEF" w14:textId="77777777" w:rsidR="00265CBE" w:rsidRPr="00CF2A1A" w:rsidRDefault="00CF2A1A">
            <w:pPr>
              <w:jc w:val="center"/>
              <w:rPr>
                <w:lang w:val="es-CO"/>
              </w:rPr>
            </w:pPr>
            <w:r w:rsidRPr="00CF2A1A">
              <w:rPr>
                <w:lang w:val="es-CO"/>
              </w:rPr>
              <w:t>Unos gemelos fueron separados al nacer y adoptados por familias diferentes para determinar cómo la genética y el entorno influyen en las puntuaciones del cociente intelectual.</w:t>
            </w:r>
          </w:p>
        </w:tc>
        <w:tc>
          <w:tcPr>
            <w:tcW w:w="6488" w:type="dxa"/>
            <w:tcBorders>
              <w:top w:val="dashed" w:sz="12" w:space="0" w:color="BED7D3"/>
              <w:left w:val="dashed" w:sz="12" w:space="0" w:color="BED7D3"/>
              <w:bottom w:val="dashed" w:sz="12" w:space="0" w:color="BED7D3"/>
              <w:right w:val="dashed" w:sz="12" w:space="0" w:color="BED7D3"/>
            </w:tcBorders>
            <w:vAlign w:val="center"/>
          </w:tcPr>
          <w:p w14:paraId="3FB492E2" w14:textId="77777777" w:rsidR="00265CBE" w:rsidRPr="00CF2A1A" w:rsidRDefault="00CF2A1A">
            <w:pPr>
              <w:jc w:val="center"/>
              <w:rPr>
                <w:lang w:val="es-CO"/>
              </w:rPr>
            </w:pPr>
            <w:r w:rsidRPr="00CF2A1A">
              <w:rPr>
                <w:lang w:val="es-CO"/>
              </w:rPr>
              <w:t>Estudiantes universitarios se ofrecieron como voluntarios para interpretar los papeles de presos y guardias en un entorno carcelario simulado durante dos semanas. Se construyó una cárcel falsa en el sótano de un edificio. Los guardias llevaban gafas de sol con reflejo para evitar el contacto visual. Los presos llevaban un uniforme de prisión con una cadena con candado alrededor del tobillo.</w:t>
            </w:r>
          </w:p>
        </w:tc>
      </w:tr>
      <w:tr w:rsidR="00265CBE" w:rsidRPr="00CF2A1A" w14:paraId="683F81E5" w14:textId="77777777">
        <w:trPr>
          <w:trHeight w:val="1806"/>
        </w:trPr>
        <w:tc>
          <w:tcPr>
            <w:tcW w:w="6488" w:type="dxa"/>
            <w:tcBorders>
              <w:top w:val="dashed" w:sz="12" w:space="0" w:color="BED7D3"/>
              <w:left w:val="dashed" w:sz="12" w:space="0" w:color="BED7D3"/>
              <w:bottom w:val="dashed" w:sz="12" w:space="0" w:color="BED7D3"/>
              <w:right w:val="dashed" w:sz="12" w:space="0" w:color="BED7D3"/>
            </w:tcBorders>
            <w:vAlign w:val="center"/>
          </w:tcPr>
          <w:p w14:paraId="2999D21E" w14:textId="77777777" w:rsidR="00265CBE" w:rsidRPr="00CF2A1A" w:rsidRDefault="00CF2A1A">
            <w:pPr>
              <w:jc w:val="center"/>
              <w:rPr>
                <w:lang w:val="es-CO"/>
              </w:rPr>
            </w:pPr>
            <w:r w:rsidRPr="00CF2A1A">
              <w:rPr>
                <w:lang w:val="es-CO"/>
              </w:rPr>
              <w:lastRenderedPageBreak/>
              <w:t>Se mostró a los participantes una línea y se les pidió que la emparejaran con una de las tres líneas de comparación de longitudes diferentes. Algunos participantes dieron respuestas incorrectas a propósito, incluso cuando la respuesta correcta era obvia, para ver si la gente se sumaba al grupo.</w:t>
            </w:r>
          </w:p>
        </w:tc>
        <w:tc>
          <w:tcPr>
            <w:tcW w:w="6488" w:type="dxa"/>
            <w:tcBorders>
              <w:top w:val="dashed" w:sz="12" w:space="0" w:color="BED7D3"/>
              <w:left w:val="dashed" w:sz="12" w:space="0" w:color="BED7D3"/>
              <w:bottom w:val="dashed" w:sz="12" w:space="0" w:color="BED7D3"/>
              <w:right w:val="dashed" w:sz="12" w:space="0" w:color="BED7D3"/>
            </w:tcBorders>
            <w:vAlign w:val="center"/>
          </w:tcPr>
          <w:p w14:paraId="0D1E8E23" w14:textId="77777777" w:rsidR="00265CBE" w:rsidRPr="00CF2A1A" w:rsidRDefault="00CF2A1A">
            <w:pPr>
              <w:jc w:val="center"/>
              <w:rPr>
                <w:lang w:val="es-CO"/>
              </w:rPr>
            </w:pPr>
            <w:r w:rsidRPr="00CF2A1A">
              <w:rPr>
                <w:lang w:val="es-CO"/>
              </w:rPr>
              <w:t>Un investigador expuso a un bebé de nueve meses a una rata blanca mientras reproducía un fuerte ruido aterrador para ver si un estímulo neutro (la rata) podía asociarse con el miedo al ir acompañado de un estímulo aversivo (el ruido fuerte).</w:t>
            </w:r>
          </w:p>
        </w:tc>
      </w:tr>
    </w:tbl>
    <w:p w14:paraId="79B6E987" w14:textId="77777777" w:rsidR="00265CBE" w:rsidRPr="00CF2A1A" w:rsidRDefault="00265CBE">
      <w:pPr>
        <w:pBdr>
          <w:top w:val="nil"/>
          <w:left w:val="nil"/>
          <w:bottom w:val="nil"/>
          <w:right w:val="nil"/>
          <w:between w:val="nil"/>
        </w:pBdr>
        <w:rPr>
          <w:lang w:val="es-CO"/>
        </w:rPr>
      </w:pPr>
    </w:p>
    <w:p w14:paraId="7929DB86" w14:textId="77777777" w:rsidR="00265CBE" w:rsidRPr="00CF2A1A" w:rsidRDefault="00CF2A1A">
      <w:pPr>
        <w:pBdr>
          <w:top w:val="nil"/>
          <w:left w:val="nil"/>
          <w:bottom w:val="nil"/>
          <w:right w:val="nil"/>
          <w:between w:val="nil"/>
        </w:pBdr>
        <w:ind w:left="720" w:hanging="720"/>
        <w:rPr>
          <w:i/>
          <w:color w:val="3E5C61"/>
          <w:sz w:val="18"/>
          <w:szCs w:val="18"/>
          <w:lang w:val="es-CO"/>
        </w:rPr>
      </w:pPr>
      <w:r w:rsidRPr="00CF2A1A">
        <w:rPr>
          <w:i/>
          <w:iCs/>
          <w:color w:val="3E5C61"/>
          <w:sz w:val="18"/>
          <w:szCs w:val="18"/>
          <w:lang w:val="es-CO"/>
        </w:rPr>
        <w:t xml:space="preserve">Fuentes: </w:t>
      </w:r>
    </w:p>
    <w:p w14:paraId="309E81A6" w14:textId="59C4AC8B" w:rsidR="00303AE9" w:rsidRPr="00CF2A1A" w:rsidRDefault="00CF2A1A" w:rsidP="0079452F">
      <w:pPr>
        <w:pBdr>
          <w:top w:val="nil"/>
          <w:left w:val="nil"/>
          <w:bottom w:val="nil"/>
          <w:right w:val="nil"/>
          <w:between w:val="nil"/>
        </w:pBdr>
        <w:ind w:left="720" w:hanging="720"/>
        <w:rPr>
          <w:i/>
          <w:color w:val="3E5C61"/>
          <w:sz w:val="18"/>
          <w:szCs w:val="18"/>
          <w:lang w:val="es-CO"/>
        </w:rPr>
      </w:pPr>
      <w:r w:rsidRPr="00CF2A1A">
        <w:rPr>
          <w:i/>
          <w:iCs/>
          <w:color w:val="3E5C61"/>
          <w:sz w:val="18"/>
          <w:szCs w:val="18"/>
          <w:lang w:val="es-CO"/>
        </w:rPr>
        <w:t xml:space="preserve">Britannica, Editores de la Enciclopedia. (16 de mayo de 2023). Stanford Prison Experiment. Encyclopedia Britannica. </w:t>
      </w:r>
      <w:hyperlink r:id="rId10" w:history="1">
        <w:r w:rsidR="00303AE9" w:rsidRPr="00CF2A1A">
          <w:rPr>
            <w:rStyle w:val="Hyperlink"/>
            <w:i/>
            <w:iCs/>
            <w:sz w:val="18"/>
            <w:szCs w:val="18"/>
            <w:lang w:val="es-CO"/>
          </w:rPr>
          <w:t>https://www.britannica.com/event/Stanford-Prison-Experiment</w:t>
        </w:r>
      </w:hyperlink>
    </w:p>
    <w:p w14:paraId="1D2CA346" w14:textId="11D2EA1C" w:rsidR="00303AE9" w:rsidRPr="00CF2A1A" w:rsidRDefault="00CF2A1A" w:rsidP="0079452F">
      <w:pPr>
        <w:pBdr>
          <w:top w:val="nil"/>
          <w:left w:val="nil"/>
          <w:bottom w:val="nil"/>
          <w:right w:val="nil"/>
          <w:between w:val="nil"/>
        </w:pBdr>
        <w:ind w:left="720" w:hanging="720"/>
        <w:rPr>
          <w:i/>
          <w:color w:val="3E5C61"/>
          <w:sz w:val="18"/>
          <w:szCs w:val="18"/>
          <w:lang w:val="es-CO"/>
        </w:rPr>
      </w:pPr>
      <w:r w:rsidRPr="00CF2A1A">
        <w:rPr>
          <w:i/>
          <w:iCs/>
          <w:color w:val="3E5C61"/>
          <w:sz w:val="18"/>
          <w:szCs w:val="18"/>
          <w:lang w:val="es-CO"/>
        </w:rPr>
        <w:t xml:space="preserve">Cherry, K. (2 de diciembre de 2022). </w:t>
      </w:r>
      <w:r w:rsidRPr="00CF2A1A">
        <w:rPr>
          <w:i/>
          <w:iCs/>
          <w:color w:val="3E5C61"/>
          <w:sz w:val="18"/>
          <w:szCs w:val="18"/>
          <w:lang w:val="es-CO"/>
        </w:rPr>
        <w:t xml:space="preserve">The Little Albert experiment: A closer look at the famous case of Little Albert. Verywell Mind. </w:t>
      </w:r>
      <w:hyperlink r:id="rId11" w:history="1">
        <w:r w:rsidR="00303AE9" w:rsidRPr="00CF2A1A">
          <w:rPr>
            <w:rStyle w:val="Hyperlink"/>
            <w:i/>
            <w:iCs/>
            <w:sz w:val="18"/>
            <w:szCs w:val="18"/>
            <w:lang w:val="es-CO"/>
          </w:rPr>
          <w:t>https://www.verywellmind.com/the-little-albert-experiment-2794994</w:t>
        </w:r>
      </w:hyperlink>
    </w:p>
    <w:p w14:paraId="06D2BDBA" w14:textId="061B042C" w:rsidR="005D6D69" w:rsidRPr="00CF2A1A" w:rsidRDefault="00CF2A1A" w:rsidP="0079452F">
      <w:pPr>
        <w:pBdr>
          <w:top w:val="nil"/>
          <w:left w:val="nil"/>
          <w:bottom w:val="nil"/>
          <w:right w:val="nil"/>
          <w:between w:val="nil"/>
        </w:pBdr>
        <w:ind w:left="720" w:hanging="720"/>
        <w:rPr>
          <w:i/>
          <w:color w:val="3E5C61"/>
          <w:sz w:val="18"/>
          <w:szCs w:val="18"/>
          <w:lang w:val="es-CO"/>
        </w:rPr>
      </w:pPr>
      <w:r w:rsidRPr="00CF2A1A">
        <w:rPr>
          <w:i/>
          <w:iCs/>
          <w:color w:val="3E5C61"/>
          <w:sz w:val="18"/>
          <w:szCs w:val="18"/>
          <w:lang w:val="es-CO"/>
        </w:rPr>
        <w:t xml:space="preserve">Clear, J. (4 de febrero de 2020). 40 years of Stanford research found that people with this one quality are more likely to succeed. James Clear. </w:t>
      </w:r>
      <w:hyperlink r:id="rId12" w:history="1">
        <w:r w:rsidR="005D6D69" w:rsidRPr="00CF2A1A">
          <w:rPr>
            <w:rStyle w:val="Hyperlink"/>
            <w:i/>
            <w:iCs/>
            <w:sz w:val="18"/>
            <w:szCs w:val="18"/>
            <w:lang w:val="es-CO"/>
          </w:rPr>
          <w:t>https://jamesclear.com/delayed-gratification</w:t>
        </w:r>
      </w:hyperlink>
    </w:p>
    <w:p w14:paraId="59C2AAF3" w14:textId="0D39BB7D" w:rsidR="00576140" w:rsidRPr="00CF2A1A" w:rsidRDefault="00CF2A1A" w:rsidP="0079452F">
      <w:pPr>
        <w:pBdr>
          <w:top w:val="nil"/>
          <w:left w:val="nil"/>
          <w:bottom w:val="nil"/>
          <w:right w:val="nil"/>
          <w:between w:val="nil"/>
        </w:pBdr>
        <w:ind w:left="720" w:hanging="720"/>
        <w:rPr>
          <w:i/>
          <w:color w:val="3E5C61"/>
          <w:sz w:val="18"/>
          <w:szCs w:val="18"/>
          <w:lang w:val="es-CO"/>
        </w:rPr>
      </w:pPr>
      <w:r w:rsidRPr="00CF2A1A">
        <w:rPr>
          <w:i/>
          <w:iCs/>
          <w:color w:val="3E5C61"/>
          <w:sz w:val="18"/>
          <w:szCs w:val="18"/>
          <w:lang w:val="es-CO"/>
        </w:rPr>
        <w:t xml:space="preserve">Mcleod, S. (2 de agosto de 2023). Solomon Asch conformity line experiment study. Simply Psychology. </w:t>
      </w:r>
      <w:hyperlink r:id="rId13" w:history="1">
        <w:r w:rsidR="00576140" w:rsidRPr="00CF2A1A">
          <w:rPr>
            <w:rStyle w:val="Hyperlink"/>
            <w:i/>
            <w:iCs/>
            <w:sz w:val="18"/>
            <w:szCs w:val="18"/>
            <w:lang w:val="es-CO"/>
          </w:rPr>
          <w:t>https://www.simplypsychology.org/asch-conformity.html</w:t>
        </w:r>
      </w:hyperlink>
    </w:p>
    <w:p w14:paraId="6F73A518" w14:textId="2819D73C" w:rsidR="00576140" w:rsidRPr="00CF2A1A" w:rsidRDefault="00CF2A1A" w:rsidP="005D6D69">
      <w:pPr>
        <w:pBdr>
          <w:top w:val="nil"/>
          <w:left w:val="nil"/>
          <w:bottom w:val="nil"/>
          <w:right w:val="nil"/>
          <w:between w:val="nil"/>
        </w:pBdr>
        <w:ind w:left="720" w:hanging="720"/>
        <w:rPr>
          <w:i/>
          <w:color w:val="3E5C61"/>
          <w:sz w:val="18"/>
          <w:szCs w:val="18"/>
          <w:lang w:val="es-CO"/>
        </w:rPr>
      </w:pPr>
      <w:r w:rsidRPr="00CF2A1A">
        <w:rPr>
          <w:i/>
          <w:iCs/>
          <w:color w:val="3E5C61"/>
          <w:sz w:val="18"/>
          <w:szCs w:val="18"/>
          <w:lang w:val="es-CO"/>
        </w:rPr>
        <w:t xml:space="preserve">Mcleod, S. (11 de septiembre de 2023). Stanley Milgram Shock Experiment: Summary, results, &amp; ethics. Simply Psychology. </w:t>
      </w:r>
      <w:hyperlink r:id="rId14" w:history="1">
        <w:r w:rsidR="00576140" w:rsidRPr="00CF2A1A">
          <w:rPr>
            <w:rStyle w:val="Hyperlink"/>
            <w:i/>
            <w:iCs/>
            <w:sz w:val="18"/>
            <w:szCs w:val="18"/>
            <w:lang w:val="es-CO"/>
          </w:rPr>
          <w:t>https://www.simplypsychology.org/milgram.html</w:t>
        </w:r>
      </w:hyperlink>
    </w:p>
    <w:p w14:paraId="36AD29CD" w14:textId="6990B349" w:rsidR="00576140" w:rsidRPr="00CF2A1A" w:rsidRDefault="00CF2A1A" w:rsidP="005D6D69">
      <w:pPr>
        <w:pBdr>
          <w:top w:val="nil"/>
          <w:left w:val="nil"/>
          <w:bottom w:val="nil"/>
          <w:right w:val="nil"/>
          <w:between w:val="nil"/>
        </w:pBdr>
        <w:ind w:left="720" w:hanging="720"/>
        <w:rPr>
          <w:i/>
          <w:color w:val="3E5C61"/>
          <w:sz w:val="18"/>
          <w:szCs w:val="18"/>
          <w:lang w:val="es-CO"/>
        </w:rPr>
      </w:pPr>
      <w:r w:rsidRPr="00CF2A1A">
        <w:rPr>
          <w:i/>
          <w:iCs/>
          <w:color w:val="3E5C61"/>
          <w:sz w:val="18"/>
          <w:szCs w:val="18"/>
          <w:lang w:val="es-CO"/>
        </w:rPr>
        <w:t xml:space="preserve">Neugaard, B. (25 de agosto de 2023). Halo effect. Encyclopedia Britannica. </w:t>
      </w:r>
      <w:hyperlink r:id="rId15" w:history="1">
        <w:r w:rsidR="00576140" w:rsidRPr="00CF2A1A">
          <w:rPr>
            <w:rStyle w:val="Hyperlink"/>
            <w:i/>
            <w:iCs/>
            <w:sz w:val="18"/>
            <w:szCs w:val="18"/>
            <w:lang w:val="es-CO"/>
          </w:rPr>
          <w:t>https://www.britannica.com/science/halo-effect</w:t>
        </w:r>
      </w:hyperlink>
    </w:p>
    <w:p w14:paraId="2F7D6EC1" w14:textId="26E8DCFE" w:rsidR="00A01B5B" w:rsidRPr="00CF2A1A" w:rsidRDefault="00CF2A1A">
      <w:pPr>
        <w:pBdr>
          <w:top w:val="nil"/>
          <w:left w:val="nil"/>
          <w:bottom w:val="nil"/>
          <w:right w:val="nil"/>
          <w:between w:val="nil"/>
        </w:pBdr>
        <w:ind w:left="720" w:hanging="720"/>
        <w:rPr>
          <w:i/>
          <w:color w:val="3E5C61"/>
          <w:sz w:val="18"/>
          <w:szCs w:val="18"/>
          <w:lang w:val="es-CO"/>
        </w:rPr>
      </w:pPr>
      <w:r w:rsidRPr="00CF2A1A">
        <w:rPr>
          <w:i/>
          <w:iCs/>
          <w:color w:val="3E5C61"/>
          <w:sz w:val="18"/>
          <w:szCs w:val="18"/>
          <w:lang w:val="es-CO"/>
        </w:rPr>
        <w:t xml:space="preserve">Segal, N. L. (26 de octubre de 2021). The controversial study of twins and triplets adopted and reared apart. Psychology Today. </w:t>
      </w:r>
      <w:hyperlink r:id="rId16" w:history="1">
        <w:r w:rsidR="00A01B5B" w:rsidRPr="00CF2A1A">
          <w:rPr>
            <w:rStyle w:val="Hyperlink"/>
            <w:i/>
            <w:iCs/>
            <w:sz w:val="18"/>
            <w:szCs w:val="18"/>
            <w:lang w:val="es-CO"/>
          </w:rPr>
          <w:t>https://www.psychologytoday.com/us/blog/twofold/202110/the-controversial-study-twins-and-triplets-adopted-and-reared-apart</w:t>
        </w:r>
      </w:hyperlink>
    </w:p>
    <w:p w14:paraId="43B092A3" w14:textId="4CA8E96E" w:rsidR="00A01B5B" w:rsidRPr="00CF2A1A" w:rsidRDefault="00CF2A1A" w:rsidP="00A01B5B">
      <w:pPr>
        <w:pBdr>
          <w:top w:val="nil"/>
          <w:left w:val="nil"/>
          <w:bottom w:val="nil"/>
          <w:right w:val="nil"/>
          <w:between w:val="nil"/>
        </w:pBdr>
        <w:ind w:left="720" w:hanging="720"/>
        <w:rPr>
          <w:i/>
          <w:color w:val="3E5C61"/>
          <w:sz w:val="18"/>
          <w:szCs w:val="18"/>
          <w:lang w:val="es-CO"/>
        </w:rPr>
      </w:pPr>
      <w:r w:rsidRPr="00CF2A1A">
        <w:rPr>
          <w:i/>
          <w:iCs/>
          <w:color w:val="3E5C61"/>
          <w:sz w:val="18"/>
          <w:szCs w:val="18"/>
          <w:lang w:val="es-CO"/>
        </w:rPr>
        <w:t xml:space="preserve">Segilia, D. (7 de abril de 2016). </w:t>
      </w:r>
      <w:r w:rsidRPr="00CF2A1A">
        <w:rPr>
          <w:i/>
          <w:iCs/>
          <w:color w:val="3E5C61"/>
          <w:sz w:val="18"/>
          <w:szCs w:val="18"/>
          <w:lang w:val="es-CO"/>
        </w:rPr>
        <w:t xml:space="preserve">The bystander apathy experiment. Exploring Experiments. </w:t>
      </w:r>
      <w:hyperlink r:id="rId17" w:history="1">
        <w:r w:rsidR="00A01B5B" w:rsidRPr="00CF2A1A">
          <w:rPr>
            <w:rStyle w:val="Hyperlink"/>
            <w:i/>
            <w:iCs/>
            <w:sz w:val="18"/>
            <w:szCs w:val="18"/>
            <w:lang w:val="es-CO"/>
          </w:rPr>
          <w:t>https://sites.psu.edu/dps16/2016/04/07/the-bystander-apathy-experiment/</w:t>
        </w:r>
      </w:hyperlink>
    </w:p>
    <w:p w14:paraId="09B52717" w14:textId="4376E80A" w:rsidR="00265CBE" w:rsidRPr="00CF2A1A" w:rsidRDefault="00CF2A1A" w:rsidP="00A01B5B">
      <w:pPr>
        <w:pBdr>
          <w:top w:val="nil"/>
          <w:left w:val="nil"/>
          <w:bottom w:val="nil"/>
          <w:right w:val="nil"/>
          <w:between w:val="nil"/>
        </w:pBdr>
        <w:ind w:left="720" w:hanging="720"/>
        <w:rPr>
          <w:i/>
          <w:color w:val="3E5C61"/>
          <w:sz w:val="18"/>
          <w:szCs w:val="18"/>
          <w:lang w:val="es-CO"/>
        </w:rPr>
      </w:pPr>
      <w:r w:rsidRPr="00CF2A1A">
        <w:rPr>
          <w:i/>
          <w:iCs/>
          <w:color w:val="3E5C61"/>
          <w:sz w:val="18"/>
          <w:szCs w:val="18"/>
          <w:lang w:val="es-CO"/>
        </w:rPr>
        <w:t xml:space="preserve"> </w:t>
      </w:r>
    </w:p>
    <w:p w14:paraId="05A95628" w14:textId="77777777" w:rsidR="00265CBE" w:rsidRPr="00CF2A1A" w:rsidRDefault="00265CBE">
      <w:pPr>
        <w:pBdr>
          <w:top w:val="nil"/>
          <w:left w:val="nil"/>
          <w:bottom w:val="nil"/>
          <w:right w:val="nil"/>
          <w:between w:val="nil"/>
        </w:pBdr>
        <w:rPr>
          <w:color w:val="000000"/>
          <w:lang w:val="es-CO"/>
        </w:rPr>
      </w:pPr>
    </w:p>
    <w:sectPr w:rsidR="00265CBE" w:rsidRPr="00CF2A1A">
      <w:footerReference w:type="default" r:id="rId18"/>
      <w:pgSz w:w="15840" w:h="12240"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7CAB63" w14:textId="77777777" w:rsidR="00964066" w:rsidRDefault="00964066">
      <w:pPr>
        <w:spacing w:after="0" w:line="240" w:lineRule="auto"/>
      </w:pPr>
      <w:r>
        <w:separator/>
      </w:r>
    </w:p>
  </w:endnote>
  <w:endnote w:type="continuationSeparator" w:id="0">
    <w:p w14:paraId="7291E3CA" w14:textId="77777777" w:rsidR="00964066" w:rsidRDefault="00964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EFF" w:usb1="C000247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5FA6E" w14:textId="77777777" w:rsidR="00265CBE" w:rsidRDefault="00CF2A1A">
    <w:pPr>
      <w:pBdr>
        <w:top w:val="nil"/>
        <w:left w:val="nil"/>
        <w:bottom w:val="nil"/>
        <w:right w:val="nil"/>
        <w:between w:val="nil"/>
      </w:pBdr>
      <w:tabs>
        <w:tab w:val="center" w:pos="4680"/>
        <w:tab w:val="right" w:pos="9360"/>
      </w:tabs>
      <w:spacing w:after="0" w:line="240" w:lineRule="auto"/>
      <w:rPr>
        <w:color w:val="000000"/>
      </w:rPr>
    </w:pPr>
    <w:r>
      <w:rPr>
        <w:noProof/>
        <w:lang w:val="es"/>
      </w:rPr>
      <w:drawing>
        <wp:anchor distT="0" distB="0" distL="0" distR="0" simplePos="0" relativeHeight="251658240" behindDoc="1" locked="0" layoutInCell="1" hidden="0" allowOverlap="1" wp14:anchorId="04584054" wp14:editId="48A89C46">
          <wp:simplePos x="0" y="0"/>
          <wp:positionH relativeFrom="column">
            <wp:posOffset>3590925</wp:posOffset>
          </wp:positionH>
          <wp:positionV relativeFrom="paragraph">
            <wp:posOffset>-212724</wp:posOffset>
          </wp:positionV>
          <wp:extent cx="4572000" cy="316865"/>
          <wp:effectExtent l="0" t="0" r="0" b="0"/>
          <wp:wrapNone/>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lang w:val="es"/>
      </w:rPr>
      <mc:AlternateContent>
        <mc:Choice Requires="wps">
          <w:drawing>
            <wp:anchor distT="0" distB="0" distL="114300" distR="114300" simplePos="0" relativeHeight="251659264" behindDoc="0" locked="0" layoutInCell="1" hidden="0" allowOverlap="1" wp14:anchorId="07800765" wp14:editId="55A858A0">
              <wp:simplePos x="0" y="0"/>
              <wp:positionH relativeFrom="column">
                <wp:posOffset>3695700</wp:posOffset>
              </wp:positionH>
              <wp:positionV relativeFrom="paragraph">
                <wp:posOffset>-253999</wp:posOffset>
              </wp:positionV>
              <wp:extent cx="4010025" cy="295275"/>
              <wp:effectExtent l="0" t="0" r="0" b="0"/>
              <wp:wrapNone/>
              <wp:docPr id="9" name="Rectangle 9"/>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365CCF09" w14:textId="77777777" w:rsidR="00265CBE" w:rsidRDefault="00CF2A1A">
                          <w:pPr>
                            <w:spacing w:after="0" w:line="240" w:lineRule="auto"/>
                            <w:jc w:val="right"/>
                            <w:textDirection w:val="btLr"/>
                          </w:pPr>
                          <w:r>
                            <w:rPr>
                              <w:rFonts w:ascii="Arial" w:eastAsia="Arial" w:hAnsi="Arial" w:cs="Arial"/>
                              <w:b/>
                              <w:bCs/>
                              <w:smallCaps/>
                              <w:color w:val="2D2D2D"/>
                              <w:lang w:val="es"/>
                            </w:rPr>
                            <w:t>Monkey see, monkey do</w:t>
                          </w:r>
                        </w:p>
                      </w:txbxContent>
                    </wps:txbx>
                    <wps:bodyPr spcFirstLastPara="1" wrap="square" lIns="91425" tIns="45700" rIns="91425" bIns="45700" anchor="t" anchorCtr="0">
                      <a:noAutofit/>
                    </wps:bodyPr>
                  </wps:wsp>
                </a:graphicData>
              </a:graphic>
            </wp:anchor>
          </w:drawing>
        </mc:Choice>
        <mc:Fallback>
          <w:pict>
            <v:rect w14:anchorId="07800765" id="Rectangle 9" o:spid="_x0000_s1026" style="position:absolute;margin-left:291pt;margin-top:-20pt;width:315.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4ItgEAAFoDAAAOAAAAZHJzL2Uyb0RvYy54bWysU9uO0zAQfUfiHyy/0yS97C5R0xViVYS0&#10;gkoLH+A6dmPJsc2M26R/z9gp2wJviBdn7BmdOefMZP049padFKDxruHVrORMOelb4w4N//5t++6B&#10;M4zCtcJ6pxp+VsgfN2/frIdQq7nvvG0VMAJxWA+h4V2MoS4KlJ3qBc58UI6S2kMvIl3hULQgBkLv&#10;bTEvy7ti8NAG8FIh0uvTlOSbjK+1kvGr1qgisw0nbjGfkM99OovNWtQHEKEz8kJD/AOLXhhHTV+h&#10;nkQU7AjmL6jeSPDodZxJ3xdeayNV1kBqqvIPNS+dCCprIXMwvNqE/w9Wfjm9hB2QDUPAGilMKkYN&#10;ffoSPzY2fLFYru5XZN+Z4rvFfTVfTcapMTJJBcuyLFclFUiqmD/kYoIsrkgBMH5SvmcpaDjQYLJf&#10;4vSMcSr9VZIaO7811ubhWPfbA2Gml+JKN0Vx3I8XDXvfnnfAMMitoV7PAuNOAA214mygQTccfxwF&#10;KM7sZ0dOvq+WJIfFfCGdSQbcZva3GeFk52l/ImdT+DHmbZo4fjhGr03Wk1hNVC5kaYDZkcuypQ25&#10;veeq6y+x+QkAAP//AwBQSwMEFAAGAAgAAAAhAIGFSm7dAAAACgEAAA8AAABkcnMvZG93bnJldi54&#10;bWxMj8FOwzAQRO9I/IO1SNxaO6GJqjROhRAcOJL2wNGNlySqvY5sp03/HvcEt1nNaPZNvV+sYRf0&#10;YXQkIVsLYEid0yP1Eo6Hj9UWWIiKtDKOUMINA+ybx4daVdpd6QsvbexZKqFQKQlDjFPFeegGtCqs&#10;3YSUvB/nrYrp9D3XXl1TuTU8F6LkVo2UPgxqwrcBu3M7WwkTGj2bTSu+O/7uKSs/D/xWSPn8tLzu&#10;gEVc4l8Y7vgJHZrEdHIz6cCMhGKbpy1Rwmojkrgn8uylAHaSUBbAm5r/n9D8AgAA//8DAFBLAQIt&#10;ABQABgAIAAAAIQC2gziS/gAAAOEBAAATAAAAAAAAAAAAAAAAAAAAAABbQ29udGVudF9UeXBlc10u&#10;eG1sUEsBAi0AFAAGAAgAAAAhADj9If/WAAAAlAEAAAsAAAAAAAAAAAAAAAAALwEAAF9yZWxzLy5y&#10;ZWxzUEsBAi0AFAAGAAgAAAAhAE827gi2AQAAWgMAAA4AAAAAAAAAAAAAAAAALgIAAGRycy9lMm9E&#10;b2MueG1sUEsBAi0AFAAGAAgAAAAhAIGFSm7dAAAACgEAAA8AAAAAAAAAAAAAAAAAEAQAAGRycy9k&#10;b3ducmV2LnhtbFBLBQYAAAAABAAEAPMAAAAaBQAAAAA=&#10;" filled="f" stroked="f">
              <v:textbox inset="2.53958mm,1.2694mm,2.53958mm,1.2694mm">
                <w:txbxContent>
                  <w:p w14:paraId="365CCF09" w14:textId="77777777" w:rsidR="00265CBE" w:rsidRDefault="006C0FF6">
                    <w:pPr>
                      <w:spacing w:after="0" w:line="240" w:lineRule="auto"/>
                      <w:jc w:val="right"/>
                      <w:textDirection w:val="btLr"/>
                      <w:bidi w:val="0"/>
                    </w:pPr>
                    <w:r>
                      <w:rPr>
                        <w:rFonts w:ascii="Arial" w:cs="Arial" w:eastAsia="Arial" w:hAnsi="Arial"/>
                        <w:smallCaps/>
                        <w:color w:val="2D2D2D"/>
                        <w:lang w:val="es"/>
                        <w:b w:val="1"/>
                        <w:bCs w:val="1"/>
                        <w:i w:val="0"/>
                        <w:iCs w:val="0"/>
                        <w:u w:val="none"/>
                        <w:vertAlign w:val="baseline"/>
                        <w:rtl w:val="0"/>
                      </w:rPr>
                      <w:t xml:space="preserve">Monkey see, monkey do</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85C35A" w14:textId="77777777" w:rsidR="00964066" w:rsidRDefault="00964066">
      <w:pPr>
        <w:spacing w:after="0" w:line="240" w:lineRule="auto"/>
      </w:pPr>
      <w:r>
        <w:separator/>
      </w:r>
    </w:p>
  </w:footnote>
  <w:footnote w:type="continuationSeparator" w:id="0">
    <w:p w14:paraId="69567134" w14:textId="77777777" w:rsidR="00964066" w:rsidRDefault="009640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CBE"/>
    <w:rsid w:val="000F6B09"/>
    <w:rsid w:val="00265CBE"/>
    <w:rsid w:val="00303AE9"/>
    <w:rsid w:val="00486458"/>
    <w:rsid w:val="00576140"/>
    <w:rsid w:val="005D6D69"/>
    <w:rsid w:val="006722A5"/>
    <w:rsid w:val="006D4BEC"/>
    <w:rsid w:val="0079452F"/>
    <w:rsid w:val="00964066"/>
    <w:rsid w:val="0098312F"/>
    <w:rsid w:val="00A01B5B"/>
    <w:rsid w:val="00B43E97"/>
    <w:rsid w:val="00CF2A1A"/>
    <w:rsid w:val="00D37E3E"/>
  </w:rsids>
  <m:mathPr>
    <m:mathFont m:val="Cambria Math"/>
    <m:brkBin m:val="before"/>
    <m:brkBinSub m:val="--"/>
    <m:smallFrac m:val="0"/>
    <m:dispDef/>
    <m:lMargin m:val="0"/>
    <m:rMargin m:val="0"/>
    <m:defJc m:val="centerGroup"/>
    <m:wrapIndent m:val="1440"/>
    <m:intLim m:val="subSup"/>
    <m:naryLim m:val="undOvr"/>
  </m:mathPr>
  <w:themeFontLang w:val="en-US" w:eastAsia="ko-KR"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49B27C"/>
  <w15:docId w15:val="{0D73405B-8C65-42AC-924B-35F9D51A7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D106FF"/>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semiHidden/>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semiHidden/>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872E7"/>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D106F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1872E7"/>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7D4DF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7D4DF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7D4DF2"/>
    <w:pPr>
      <w:spacing w:after="0" w:line="240" w:lineRule="auto"/>
    </w:pPr>
    <w:rPr>
      <w:b/>
      <w:color w:val="910D28" w:themeColor="accent1"/>
    </w:rPr>
  </w:style>
  <w:style w:type="paragraph" w:customStyle="1" w:styleId="TableBody">
    <w:name w:val="Table Body"/>
    <w:basedOn w:val="Normal"/>
    <w:qFormat/>
    <w:rsid w:val="007D4DF2"/>
    <w:pPr>
      <w:spacing w:after="0" w:line="240" w:lineRule="auto"/>
    </w:pPr>
  </w:style>
  <w:style w:type="table" w:customStyle="1" w:styleId="a0">
    <w:basedOn w:val="TableNormal"/>
    <w:pPr>
      <w:spacing w:after="0" w:line="240" w:lineRule="auto"/>
    </w:pPr>
    <w:tblPr>
      <w:tblStyleRowBandSize w:val="1"/>
      <w:tblStyleColBandSize w:val="1"/>
      <w:tblCellMar>
        <w:top w:w="115" w:type="dxa"/>
        <w:left w:w="115" w:type="dxa"/>
        <w:bottom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implypsychology.org/asch-conformity.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jamesclear.com/delayed-gratification" TargetMode="External"/><Relationship Id="rId17" Type="http://schemas.openxmlformats.org/officeDocument/2006/relationships/hyperlink" Target="https://sites.psu.edu/dps16/2016/04/07/the-bystander-apathy-experiment/" TargetMode="External"/><Relationship Id="rId2" Type="http://schemas.openxmlformats.org/officeDocument/2006/relationships/customXml" Target="../customXml/item2.xml"/><Relationship Id="rId16" Type="http://schemas.openxmlformats.org/officeDocument/2006/relationships/hyperlink" Target="https://www.psychologytoday.com/us/blog/twofold/202110/the-controversial-study-twins-and-triplets-adopted-and-reared-apar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verywellmind.com/the-little-albert-experiment-2794994" TargetMode="External"/><Relationship Id="rId5" Type="http://schemas.openxmlformats.org/officeDocument/2006/relationships/styles" Target="styles.xml"/><Relationship Id="rId15" Type="http://schemas.openxmlformats.org/officeDocument/2006/relationships/hyperlink" Target="https://www.britannica.com/science/halo-effect" TargetMode="External"/><Relationship Id="rId10" Type="http://schemas.openxmlformats.org/officeDocument/2006/relationships/hyperlink" Target="https://www.britannica.com/event/Stanford-Prison-Experiment"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simplypsychology.org/milgram.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19BB9F77539F4E80DCB439BDDAEEB1" ma:contentTypeVersion="12" ma:contentTypeDescription="Create a new document." ma:contentTypeScope="" ma:versionID="0e975ed9db09b80d057191aa24a2ba47">
  <xsd:schema xmlns:xsd="http://www.w3.org/2001/XMLSchema" xmlns:xs="http://www.w3.org/2001/XMLSchema" xmlns:p="http://schemas.microsoft.com/office/2006/metadata/properties" xmlns:ns3="b6c18db6-95a6-4e82-a576-181cb2228a09" xmlns:ns4="2c95d73b-190d-41fa-986b-c57e245d4b7b" targetNamespace="http://schemas.microsoft.com/office/2006/metadata/properties" ma:root="true" ma:fieldsID="b452efffa009ea94152ec98bd6e9f69b" ns3:_="" ns4:_="">
    <xsd:import namespace="b6c18db6-95a6-4e82-a576-181cb2228a09"/>
    <xsd:import namespace="2c95d73b-190d-41fa-986b-c57e245d4b7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DateTake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c18db6-95a6-4e82-a576-181cb2228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95d73b-190d-41fa-986b-c57e245d4b7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6c18db6-95a6-4e82-a576-181cb2228a09" xsi:nil="true"/>
  </documentManagement>
</p:properties>
</file>

<file path=customXml/item4.xml><?xml version="1.0" encoding="utf-8"?>
<go:gDocsCustomXmlDataStorage xmlns:go="http://customooxmlschemas.google.com/" xmlns:r="http://schemas.openxmlformats.org/officeDocument/2006/relationships" uri="GoogleDocsCustomDataVersion2">
  <go:docsCustomData roundtripDataSignature="AMtx7mhJJa7VCYXmImeQUx7wX6uTz2GHTA==">CgMxLjA4AHIhMVgtcURPdG9nRGFfYmM2U1M3ZzRnYWhBOHhwMDdNY0h5</go:docsCustomData>
</go:gDocsCustomXmlDataStorage>
</file>

<file path=customXml/itemProps1.xml><?xml version="1.0" encoding="utf-8"?>
<ds:datastoreItem xmlns:ds="http://schemas.openxmlformats.org/officeDocument/2006/customXml" ds:itemID="{BBA0A6B1-FB3A-4F73-87FD-D76552095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c18db6-95a6-4e82-a576-181cb2228a09"/>
    <ds:schemaRef ds:uri="2c95d73b-190d-41fa-986b-c57e245d4b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393077-227D-4D7A-B659-D78A08BF1360}">
  <ds:schemaRefs>
    <ds:schemaRef ds:uri="http://schemas.microsoft.com/sharepoint/v3/contenttype/forms"/>
  </ds:schemaRefs>
</ds:datastoreItem>
</file>

<file path=customXml/itemProps3.xml><?xml version="1.0" encoding="utf-8"?>
<ds:datastoreItem xmlns:ds="http://schemas.openxmlformats.org/officeDocument/2006/customXml" ds:itemID="{60707DD2-C2BB-4EC8-890C-47A5F4E59C9C}">
  <ds:schemaRefs>
    <ds:schemaRef ds:uri="http://schemas.microsoft.com/office/2006/metadata/properties"/>
    <ds:schemaRef ds:uri="http://schemas.microsoft.com/office/infopath/2007/PartnerControls"/>
    <ds:schemaRef ds:uri="b6c18db6-95a6-4e82-a576-181cb2228a09"/>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656</Words>
  <Characters>3742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k20center@ou.edu</dc:creator>
  <cp:lastModifiedBy>Catalina Otalora</cp:lastModifiedBy>
  <cp:revision>9</cp:revision>
  <dcterms:created xsi:type="dcterms:W3CDTF">2023-09-25T19:53:00Z</dcterms:created>
  <dcterms:modified xsi:type="dcterms:W3CDTF">2025-03-27T22:01:00Z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0x0101005819BB9F77539F4E80DCB439BDDAEEB1</vt:lpwstr>
  </property>
</Properties>
</file>