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A2E99" w14:textId="77777777" w:rsidR="00AB4703" w:rsidRDefault="00000000">
      <w:pPr>
        <w:pStyle w:val="Title"/>
      </w:pPr>
      <w:r>
        <w:t>ENGEL v. VITALE GRAPHIC ORGANIZER</w:t>
      </w:r>
    </w:p>
    <w:p w14:paraId="69CA7301" w14:textId="4B95E9CB" w:rsidR="00AB4703" w:rsidRDefault="00000000">
      <w:r>
        <w:t xml:space="preserve">Use the Engel v. Vitale </w:t>
      </w:r>
      <w:r w:rsidR="00A26605">
        <w:t>Summary</w:t>
      </w:r>
      <w:r>
        <w:t xml:space="preserve"> handout to fill in the graphic organizer in your own words.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AB4703" w14:paraId="3EB28286" w14:textId="77777777">
        <w:trPr>
          <w:trHeight w:val="470"/>
        </w:trPr>
        <w:tc>
          <w:tcPr>
            <w:tcW w:w="3114" w:type="dxa"/>
            <w:shd w:val="clear" w:color="auto" w:fill="3E5C61"/>
          </w:tcPr>
          <w:p w14:paraId="16AADBE3" w14:textId="77777777" w:rsidR="00AB4703" w:rsidRDefault="00AB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</w:p>
        </w:tc>
        <w:tc>
          <w:tcPr>
            <w:tcW w:w="6226" w:type="dxa"/>
            <w:shd w:val="clear" w:color="auto" w:fill="3E5C61"/>
          </w:tcPr>
          <w:p w14:paraId="33C243DF" w14:textId="77777777" w:rsidR="00AB4703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Explain in your own words</w:t>
            </w:r>
          </w:p>
        </w:tc>
      </w:tr>
      <w:tr w:rsidR="00AB4703" w14:paraId="18C48C34" w14:textId="77777777">
        <w:trPr>
          <w:trHeight w:val="470"/>
        </w:trPr>
        <w:tc>
          <w:tcPr>
            <w:tcW w:w="3114" w:type="dxa"/>
          </w:tcPr>
          <w:p w14:paraId="61463794" w14:textId="77777777" w:rsidR="00AB4703" w:rsidRDefault="00000000">
            <w:pPr>
              <w:pStyle w:val="Heading1"/>
            </w:pPr>
            <w:r>
              <w:t>Defendant</w:t>
            </w:r>
          </w:p>
          <w:p w14:paraId="5DCF0DFE" w14:textId="77777777" w:rsidR="00AB4703" w:rsidRDefault="00000000">
            <w:r>
              <w:t>Who was charged with a crime?</w:t>
            </w:r>
          </w:p>
        </w:tc>
        <w:tc>
          <w:tcPr>
            <w:tcW w:w="6226" w:type="dxa"/>
          </w:tcPr>
          <w:p w14:paraId="6B58B252" w14:textId="77777777" w:rsidR="00AB4703" w:rsidRDefault="00AB4703"/>
          <w:p w14:paraId="44BDE6F4" w14:textId="77777777" w:rsidR="00AB4703" w:rsidRDefault="00AB4703"/>
          <w:p w14:paraId="4451FF86" w14:textId="77777777" w:rsidR="00AB4703" w:rsidRDefault="00AB4703"/>
        </w:tc>
      </w:tr>
      <w:tr w:rsidR="00AB4703" w14:paraId="2EDF6D29" w14:textId="77777777">
        <w:trPr>
          <w:trHeight w:val="470"/>
        </w:trPr>
        <w:tc>
          <w:tcPr>
            <w:tcW w:w="3114" w:type="dxa"/>
          </w:tcPr>
          <w:p w14:paraId="4743562C" w14:textId="77777777" w:rsidR="00AB4703" w:rsidRDefault="00000000">
            <w:pPr>
              <w:pStyle w:val="Heading1"/>
            </w:pPr>
            <w:r>
              <w:t>Plaintiff</w:t>
            </w:r>
          </w:p>
          <w:p w14:paraId="7D4DA10F" w14:textId="77777777" w:rsidR="00AB4703" w:rsidRDefault="00000000">
            <w:r>
              <w:t xml:space="preserve">Who brought the charges? </w:t>
            </w:r>
          </w:p>
        </w:tc>
        <w:tc>
          <w:tcPr>
            <w:tcW w:w="6226" w:type="dxa"/>
          </w:tcPr>
          <w:p w14:paraId="2628BCCE" w14:textId="77777777" w:rsidR="00AB4703" w:rsidRDefault="00AB4703"/>
          <w:p w14:paraId="03DFE429" w14:textId="77777777" w:rsidR="00AB4703" w:rsidRDefault="00AB4703"/>
          <w:p w14:paraId="3F40AAA6" w14:textId="77777777" w:rsidR="00AB4703" w:rsidRDefault="00AB4703"/>
        </w:tc>
      </w:tr>
      <w:tr w:rsidR="00AB4703" w14:paraId="04D5AED3" w14:textId="77777777">
        <w:trPr>
          <w:trHeight w:val="470"/>
        </w:trPr>
        <w:tc>
          <w:tcPr>
            <w:tcW w:w="3114" w:type="dxa"/>
          </w:tcPr>
          <w:p w14:paraId="4C6B82FA" w14:textId="77777777" w:rsidR="00AB4703" w:rsidRDefault="00000000">
            <w:pPr>
              <w:pStyle w:val="Heading1"/>
            </w:pPr>
            <w:r>
              <w:t>Question of the Court</w:t>
            </w:r>
          </w:p>
          <w:p w14:paraId="538C9CCB" w14:textId="679A6389" w:rsidR="00AB4703" w:rsidRDefault="00000000">
            <w:r>
              <w:t xml:space="preserve">What </w:t>
            </w:r>
            <w:r w:rsidR="0002065A">
              <w:t xml:space="preserve">constitutional </w:t>
            </w:r>
            <w:r>
              <w:t xml:space="preserve">right was in question? </w:t>
            </w:r>
          </w:p>
        </w:tc>
        <w:tc>
          <w:tcPr>
            <w:tcW w:w="6226" w:type="dxa"/>
          </w:tcPr>
          <w:p w14:paraId="5467E7C5" w14:textId="77777777" w:rsidR="00AB4703" w:rsidRDefault="00AB4703"/>
          <w:p w14:paraId="31334A1B" w14:textId="77777777" w:rsidR="00AB4703" w:rsidRDefault="00AB4703"/>
          <w:p w14:paraId="17AEC9F9" w14:textId="77777777" w:rsidR="00AB4703" w:rsidRDefault="00AB4703"/>
          <w:p w14:paraId="278718F8" w14:textId="77777777" w:rsidR="00AB4703" w:rsidRDefault="00AB4703"/>
        </w:tc>
      </w:tr>
      <w:tr w:rsidR="00AB4703" w14:paraId="74BB7C15" w14:textId="77777777">
        <w:trPr>
          <w:trHeight w:val="470"/>
        </w:trPr>
        <w:tc>
          <w:tcPr>
            <w:tcW w:w="3114" w:type="dxa"/>
          </w:tcPr>
          <w:p w14:paraId="14A08822" w14:textId="77777777" w:rsidR="00AB4703" w:rsidRDefault="00000000">
            <w:pPr>
              <w:pStyle w:val="Heading1"/>
            </w:pPr>
            <w:r>
              <w:t>Ruling</w:t>
            </w:r>
          </w:p>
          <w:p w14:paraId="6D932BA8" w14:textId="77777777" w:rsidR="00AB4703" w:rsidRDefault="00000000">
            <w:r>
              <w:t xml:space="preserve">What did the Supreme Court say? </w:t>
            </w:r>
          </w:p>
        </w:tc>
        <w:tc>
          <w:tcPr>
            <w:tcW w:w="6226" w:type="dxa"/>
          </w:tcPr>
          <w:p w14:paraId="41FECBC9" w14:textId="77777777" w:rsidR="00AB4703" w:rsidRDefault="00AB4703"/>
          <w:p w14:paraId="66DCAC51" w14:textId="77777777" w:rsidR="00AB4703" w:rsidRDefault="00AB4703"/>
          <w:p w14:paraId="3ACB9883" w14:textId="77777777" w:rsidR="00AB4703" w:rsidRDefault="00AB4703"/>
          <w:p w14:paraId="2FA6A173" w14:textId="77777777" w:rsidR="00AB4703" w:rsidRDefault="00AB4703"/>
          <w:p w14:paraId="268C73AC" w14:textId="77777777" w:rsidR="00AB4703" w:rsidRDefault="00AB4703"/>
          <w:p w14:paraId="753E5E7B" w14:textId="77777777" w:rsidR="00AB4703" w:rsidRDefault="00AB4703"/>
        </w:tc>
      </w:tr>
      <w:tr w:rsidR="00AB4703" w14:paraId="212DC0FD" w14:textId="77777777">
        <w:trPr>
          <w:trHeight w:val="470"/>
        </w:trPr>
        <w:tc>
          <w:tcPr>
            <w:tcW w:w="3114" w:type="dxa"/>
          </w:tcPr>
          <w:p w14:paraId="579424F1" w14:textId="77777777" w:rsidR="00AB4703" w:rsidRDefault="00000000">
            <w:pPr>
              <w:pStyle w:val="Heading1"/>
            </w:pPr>
            <w:r>
              <w:t>Rationale</w:t>
            </w:r>
          </w:p>
          <w:p w14:paraId="695A205E" w14:textId="77777777" w:rsidR="00AB4703" w:rsidRDefault="00000000">
            <w:r>
              <w:t xml:space="preserve">Why did the Court decide that way? </w:t>
            </w:r>
          </w:p>
          <w:p w14:paraId="4198A8CA" w14:textId="77777777" w:rsidR="00AB4703" w:rsidRDefault="00000000">
            <w:r>
              <w:t xml:space="preserve">What did the dissent say? </w:t>
            </w:r>
          </w:p>
          <w:p w14:paraId="189023C7" w14:textId="77777777" w:rsidR="00AB4703" w:rsidRDefault="00AB4703"/>
        </w:tc>
        <w:tc>
          <w:tcPr>
            <w:tcW w:w="6226" w:type="dxa"/>
          </w:tcPr>
          <w:p w14:paraId="6CB94D53" w14:textId="77777777" w:rsidR="00AB4703" w:rsidRDefault="00AB4703"/>
          <w:p w14:paraId="1BD866A9" w14:textId="77777777" w:rsidR="00AB4703" w:rsidRDefault="00AB4703"/>
          <w:p w14:paraId="57E71E76" w14:textId="77777777" w:rsidR="00AB4703" w:rsidRDefault="00AB4703"/>
          <w:p w14:paraId="58887021" w14:textId="77777777" w:rsidR="00AB4703" w:rsidRDefault="00AB4703"/>
          <w:p w14:paraId="054284F9" w14:textId="77777777" w:rsidR="00AB4703" w:rsidRDefault="00AB4703"/>
          <w:p w14:paraId="63F3F5E8" w14:textId="77777777" w:rsidR="00AB4703" w:rsidRDefault="00AB4703"/>
        </w:tc>
      </w:tr>
      <w:tr w:rsidR="00AB4703" w14:paraId="2930FE72" w14:textId="77777777">
        <w:trPr>
          <w:trHeight w:val="470"/>
        </w:trPr>
        <w:tc>
          <w:tcPr>
            <w:tcW w:w="9340" w:type="dxa"/>
            <w:gridSpan w:val="2"/>
          </w:tcPr>
          <w:p w14:paraId="73517F7A" w14:textId="204BBB11" w:rsidR="00AB4703" w:rsidRDefault="00000000">
            <w:pPr>
              <w:pStyle w:val="Heading1"/>
            </w:pPr>
            <w:r>
              <w:t>How did the ruling in Engel v. Vitale illustrate how the First Amendment protects people’s right</w:t>
            </w:r>
            <w:r w:rsidR="0002065A">
              <w:t>s</w:t>
            </w:r>
            <w:r>
              <w:t xml:space="preserve"> to freedom of </w:t>
            </w:r>
            <w:r w:rsidR="0002065A">
              <w:t>r</w:t>
            </w:r>
            <w:r>
              <w:t xml:space="preserve">eligion? </w:t>
            </w:r>
          </w:p>
          <w:p w14:paraId="189455CC" w14:textId="77777777" w:rsidR="00AB4703" w:rsidRDefault="00AB4703"/>
          <w:p w14:paraId="0DAC2AEF" w14:textId="77777777" w:rsidR="00AB4703" w:rsidRDefault="00AB4703"/>
          <w:p w14:paraId="20F7D2AA" w14:textId="77777777" w:rsidR="00AB4703" w:rsidRDefault="00AB4703"/>
          <w:p w14:paraId="5E59944E" w14:textId="77777777" w:rsidR="00AB4703" w:rsidRDefault="00AB4703"/>
          <w:p w14:paraId="2D9B584B" w14:textId="77777777" w:rsidR="00AB4703" w:rsidRDefault="00AB4703"/>
          <w:p w14:paraId="3B96F490" w14:textId="77777777" w:rsidR="00AB4703" w:rsidRDefault="00AB4703"/>
        </w:tc>
      </w:tr>
    </w:tbl>
    <w:p w14:paraId="579E35DA" w14:textId="77777777" w:rsidR="00AB4703" w:rsidRDefault="00AB4703"/>
    <w:sectPr w:rsidR="00AB47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FBDE" w14:textId="77777777" w:rsidR="00A84B4B" w:rsidRDefault="00A84B4B">
      <w:pPr>
        <w:spacing w:after="0" w:line="240" w:lineRule="auto"/>
      </w:pPr>
      <w:r>
        <w:separator/>
      </w:r>
    </w:p>
  </w:endnote>
  <w:endnote w:type="continuationSeparator" w:id="0">
    <w:p w14:paraId="154D5F95" w14:textId="77777777" w:rsidR="00A84B4B" w:rsidRDefault="00A8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9077" w14:textId="77777777" w:rsidR="00C66131" w:rsidRDefault="00C66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4A8C" w14:textId="77777777" w:rsidR="00AB47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46EFE7" wp14:editId="236E2479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79E83C" wp14:editId="06CF1B12">
              <wp:simplePos x="0" y="0"/>
              <wp:positionH relativeFrom="column">
                <wp:posOffset>942975</wp:posOffset>
              </wp:positionH>
              <wp:positionV relativeFrom="paragraph">
                <wp:posOffset>-152399</wp:posOffset>
              </wp:positionV>
              <wp:extent cx="4200525" cy="3143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9550" y="3637125"/>
                        <a:ext cx="45468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E29C6" w14:textId="77777777" w:rsidR="00AB4703" w:rsidRPr="0002065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2065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PRESERVING THE SEPARATION OF CHURCH AND STATE</w:t>
                          </w:r>
                        </w:p>
                        <w:p w14:paraId="1BA57F87" w14:textId="77777777" w:rsidR="00AB4703" w:rsidRDefault="00AB470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9E83C" id="Rectangle 1" o:spid="_x0000_s1026" style="position:absolute;margin-left:74.25pt;margin-top:-12pt;width:330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" filled="f" stroked="f">
              <v:textbox inset="2.53958mm,1.2694mm,2.53958mm,1.2694mm">
                <w:txbxContent>
                  <w:p w14:paraId="524E29C6" w14:textId="77777777" w:rsidR="00AB4703" w:rsidRPr="0002065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2065A">
                      <w:rPr>
                        <w:rFonts w:eastAsia="Arial"/>
                        <w:b/>
                        <w:smallCaps/>
                        <w:color w:val="2D2D2D"/>
                      </w:rPr>
                      <w:t>PRESERVING THE SEPARATION OF CHURCH AND STATE</w:t>
                    </w:r>
                  </w:p>
                  <w:p w14:paraId="1BA57F87" w14:textId="77777777" w:rsidR="00AB4703" w:rsidRDefault="00AB470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DE60" w14:textId="77777777" w:rsidR="00C66131" w:rsidRDefault="00C66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F755" w14:textId="77777777" w:rsidR="00A84B4B" w:rsidRDefault="00A84B4B">
      <w:pPr>
        <w:spacing w:after="0" w:line="240" w:lineRule="auto"/>
      </w:pPr>
      <w:r>
        <w:separator/>
      </w:r>
    </w:p>
  </w:footnote>
  <w:footnote w:type="continuationSeparator" w:id="0">
    <w:p w14:paraId="08D4E10A" w14:textId="77777777" w:rsidR="00A84B4B" w:rsidRDefault="00A8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0DAC" w14:textId="77777777" w:rsidR="00C66131" w:rsidRDefault="00C66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6119" w14:textId="77777777" w:rsidR="00C66131" w:rsidRDefault="00C66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2B4B" w14:textId="77777777" w:rsidR="00C66131" w:rsidRDefault="00C66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03"/>
    <w:rsid w:val="0002065A"/>
    <w:rsid w:val="00312FF6"/>
    <w:rsid w:val="008950FF"/>
    <w:rsid w:val="00A26605"/>
    <w:rsid w:val="00A84B4B"/>
    <w:rsid w:val="00AB4703"/>
    <w:rsid w:val="00C17E10"/>
    <w:rsid w:val="00C66131"/>
    <w:rsid w:val="00C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EC5D2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5A"/>
  </w:style>
  <w:style w:type="paragraph" w:styleId="Footer">
    <w:name w:val="footer"/>
    <w:basedOn w:val="Normal"/>
    <w:link w:val="FooterChar"/>
    <w:uiPriority w:val="99"/>
    <w:unhideWhenUsed/>
    <w:rsid w:val="0002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435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Lopez, Araceli</cp:lastModifiedBy>
  <cp:revision>3</cp:revision>
  <dcterms:created xsi:type="dcterms:W3CDTF">2023-09-07T17:44:00Z</dcterms:created>
  <dcterms:modified xsi:type="dcterms:W3CDTF">2023-09-18T18:20:00Z</dcterms:modified>
  <cp:category/>
</cp:coreProperties>
</file>