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492415" w14:textId="7D864076" w:rsidR="00833D15" w:rsidRDefault="00000000">
      <w:pPr>
        <w:pStyle w:val="Title"/>
      </w:pPr>
      <w:r>
        <w:t>ENGEL v. VITALE</w:t>
      </w:r>
      <w:r w:rsidR="00AA3D75">
        <w:t>:</w:t>
      </w:r>
      <w:r>
        <w:t xml:space="preserve"> IT SAYS…I SAY…AND SO</w:t>
      </w:r>
    </w:p>
    <w:tbl>
      <w:tblPr>
        <w:tblStyle w:val="a"/>
        <w:tblW w:w="9435" w:type="dxa"/>
        <w:tblInd w:w="-1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3150"/>
        <w:gridCol w:w="3150"/>
      </w:tblGrid>
      <w:tr w:rsidR="00833D15" w14:paraId="62DA0A53" w14:textId="77777777">
        <w:trPr>
          <w:trHeight w:val="470"/>
        </w:trPr>
        <w:tc>
          <w:tcPr>
            <w:tcW w:w="3135" w:type="dxa"/>
            <w:tcBorders>
              <w:top w:val="nil"/>
              <w:bottom w:val="nil"/>
            </w:tcBorders>
          </w:tcPr>
          <w:p w14:paraId="07FA186B" w14:textId="77777777" w:rsidR="00833D15" w:rsidRPr="00E4404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910D28"/>
                <w:sz w:val="28"/>
                <w:szCs w:val="28"/>
              </w:rPr>
            </w:pPr>
            <w:bookmarkStart w:id="0" w:name="_gjdgxs" w:colFirst="0" w:colLast="0"/>
            <w:bookmarkEnd w:id="0"/>
            <w:r w:rsidRPr="00E44044">
              <w:rPr>
                <w:b/>
                <w:color w:val="910D28"/>
                <w:sz w:val="28"/>
                <w:szCs w:val="28"/>
              </w:rPr>
              <w:t>It Says…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20876BBB" w14:textId="77777777" w:rsidR="00833D15" w:rsidRPr="00E44044" w:rsidRDefault="00000000">
            <w:pPr>
              <w:spacing w:line="276" w:lineRule="auto"/>
              <w:rPr>
                <w:b/>
                <w:color w:val="910D28"/>
                <w:sz w:val="28"/>
                <w:szCs w:val="28"/>
              </w:rPr>
            </w:pPr>
            <w:r w:rsidRPr="00E44044">
              <w:rPr>
                <w:b/>
                <w:color w:val="910D28"/>
                <w:sz w:val="28"/>
                <w:szCs w:val="28"/>
              </w:rPr>
              <w:t>I Say…</w:t>
            </w:r>
          </w:p>
        </w:tc>
        <w:tc>
          <w:tcPr>
            <w:tcW w:w="3150" w:type="dxa"/>
            <w:tcBorders>
              <w:top w:val="nil"/>
              <w:bottom w:val="nil"/>
            </w:tcBorders>
          </w:tcPr>
          <w:p w14:paraId="063CBAE1" w14:textId="77777777" w:rsidR="00833D15" w:rsidRPr="00E44044" w:rsidRDefault="00000000">
            <w:pPr>
              <w:spacing w:line="276" w:lineRule="auto"/>
              <w:rPr>
                <w:b/>
                <w:color w:val="910D28"/>
                <w:sz w:val="28"/>
                <w:szCs w:val="28"/>
              </w:rPr>
            </w:pPr>
            <w:r w:rsidRPr="00E44044">
              <w:rPr>
                <w:b/>
                <w:color w:val="910D28"/>
                <w:sz w:val="28"/>
                <w:szCs w:val="28"/>
              </w:rPr>
              <w:t xml:space="preserve">and </w:t>
            </w:r>
            <w:proofErr w:type="gramStart"/>
            <w:r w:rsidRPr="00E44044">
              <w:rPr>
                <w:b/>
                <w:color w:val="910D28"/>
                <w:sz w:val="28"/>
                <w:szCs w:val="28"/>
              </w:rPr>
              <w:t>So</w:t>
            </w:r>
            <w:proofErr w:type="gramEnd"/>
            <w:r w:rsidRPr="00E44044">
              <w:rPr>
                <w:b/>
                <w:color w:val="910D28"/>
                <w:sz w:val="28"/>
                <w:szCs w:val="28"/>
              </w:rPr>
              <w:t>…</w:t>
            </w:r>
          </w:p>
        </w:tc>
      </w:tr>
      <w:tr w:rsidR="00833D15" w14:paraId="7B80632C" w14:textId="77777777">
        <w:trPr>
          <w:trHeight w:val="1080"/>
        </w:trPr>
        <w:tc>
          <w:tcPr>
            <w:tcW w:w="3135" w:type="dxa"/>
            <w:tcBorders>
              <w:top w:val="nil"/>
              <w:bottom w:val="single" w:sz="18" w:space="0" w:color="3E5C61"/>
            </w:tcBorders>
          </w:tcPr>
          <w:p w14:paraId="61CB0205" w14:textId="708E3BCA" w:rsidR="00833D15" w:rsidRDefault="00000000" w:rsidP="00AA3D75">
            <w:pPr>
              <w:jc w:val="center"/>
            </w:pPr>
            <w:r>
              <w:t xml:space="preserve">Write down the </w:t>
            </w:r>
            <w:r w:rsidR="00F85DCB">
              <w:t xml:space="preserve">constitutional </w:t>
            </w:r>
            <w:r>
              <w:t>rights outlined in the First Amendment.</w:t>
            </w:r>
          </w:p>
        </w:tc>
        <w:tc>
          <w:tcPr>
            <w:tcW w:w="3150" w:type="dxa"/>
            <w:tcBorders>
              <w:top w:val="nil"/>
              <w:bottom w:val="single" w:sz="18" w:space="0" w:color="3E5C61"/>
            </w:tcBorders>
          </w:tcPr>
          <w:p w14:paraId="44195AEC" w14:textId="77777777" w:rsidR="00833D15" w:rsidRDefault="00000000" w:rsidP="00AA3D75">
            <w:pPr>
              <w:jc w:val="center"/>
            </w:pPr>
            <w:r>
              <w:t>Write down your thoughts on what these rights truly mean in practice.</w:t>
            </w:r>
          </w:p>
        </w:tc>
        <w:tc>
          <w:tcPr>
            <w:tcW w:w="3150" w:type="dxa"/>
            <w:tcBorders>
              <w:top w:val="nil"/>
              <w:bottom w:val="single" w:sz="18" w:space="0" w:color="3E5C61"/>
            </w:tcBorders>
          </w:tcPr>
          <w:p w14:paraId="1BC1F929" w14:textId="77777777" w:rsidR="00833D15" w:rsidRDefault="00000000" w:rsidP="00AA3D75">
            <w:pPr>
              <w:jc w:val="center"/>
            </w:pPr>
            <w:r>
              <w:rPr>
                <w:sz w:val="22"/>
                <w:szCs w:val="22"/>
              </w:rPr>
              <w:t>How did the Supreme Court's ruling in Engel v. Vitale (1962) shape the interpretation of the First Amendment and impact the role of religion within public schools?</w:t>
            </w:r>
          </w:p>
        </w:tc>
      </w:tr>
      <w:tr w:rsidR="00833D15" w14:paraId="4FCCEAB5" w14:textId="77777777">
        <w:trPr>
          <w:trHeight w:val="9150"/>
        </w:trPr>
        <w:tc>
          <w:tcPr>
            <w:tcW w:w="3135" w:type="dxa"/>
            <w:tcBorders>
              <w:top w:val="single" w:sz="18" w:space="0" w:color="3E5C61"/>
              <w:bottom w:val="nil"/>
            </w:tcBorders>
          </w:tcPr>
          <w:p w14:paraId="0769818E" w14:textId="77777777" w:rsidR="00833D15" w:rsidRDefault="00833D15"/>
        </w:tc>
        <w:tc>
          <w:tcPr>
            <w:tcW w:w="3150" w:type="dxa"/>
            <w:tcBorders>
              <w:top w:val="single" w:sz="18" w:space="0" w:color="3E5C61"/>
              <w:bottom w:val="nil"/>
            </w:tcBorders>
          </w:tcPr>
          <w:p w14:paraId="759BCDB8" w14:textId="77777777" w:rsidR="00833D15" w:rsidRDefault="00833D15"/>
          <w:p w14:paraId="75300154" w14:textId="77777777" w:rsidR="00833D15" w:rsidRDefault="00833D15"/>
          <w:p w14:paraId="4DAFEC86" w14:textId="77777777" w:rsidR="00833D15" w:rsidRDefault="00833D15"/>
        </w:tc>
        <w:tc>
          <w:tcPr>
            <w:tcW w:w="3150" w:type="dxa"/>
            <w:tcBorders>
              <w:top w:val="single" w:sz="18" w:space="0" w:color="3E5C61"/>
              <w:bottom w:val="nil"/>
            </w:tcBorders>
          </w:tcPr>
          <w:p w14:paraId="7111B801" w14:textId="77777777" w:rsidR="00833D15" w:rsidRDefault="00833D15"/>
        </w:tc>
      </w:tr>
    </w:tbl>
    <w:p w14:paraId="035514C6" w14:textId="77777777" w:rsidR="00833D15" w:rsidRDefault="00833D15"/>
    <w:sectPr w:rsidR="00833D15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915B" w14:textId="77777777" w:rsidR="00D50572" w:rsidRDefault="00D50572">
      <w:pPr>
        <w:spacing w:after="0" w:line="240" w:lineRule="auto"/>
      </w:pPr>
      <w:r>
        <w:separator/>
      </w:r>
    </w:p>
  </w:endnote>
  <w:endnote w:type="continuationSeparator" w:id="0">
    <w:p w14:paraId="0192E2A8" w14:textId="77777777" w:rsidR="00D50572" w:rsidRDefault="00D5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B560" w14:textId="5E2FB5FE" w:rsidR="00833D15" w:rsidRDefault="00E440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C7AE67" wp14:editId="37A1C765">
              <wp:simplePos x="0" y="0"/>
              <wp:positionH relativeFrom="column">
                <wp:posOffset>1617345</wp:posOffset>
              </wp:positionH>
              <wp:positionV relativeFrom="paragraph">
                <wp:posOffset>-143510</wp:posOffset>
              </wp:positionV>
              <wp:extent cx="4010025" cy="25971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18AF1" w14:textId="77777777" w:rsidR="00833D15" w:rsidRPr="00AA3D7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A3D7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PRESERVING THE SEPARATION OF CHURCH AND STATE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C7AE67" id="Rectangle 1" o:spid="_x0000_s1026" style="position:absolute;margin-left:127.35pt;margin-top:-11.3pt;width:315.75pt;height:2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" filled="f" stroked="f">
              <v:textbox inset="2.53958mm,1.2694mm,2.53958mm,1.2694mm">
                <w:txbxContent>
                  <w:p w14:paraId="2AA18AF1" w14:textId="77777777" w:rsidR="00833D15" w:rsidRPr="00AA3D7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AA3D75">
                      <w:rPr>
                        <w:rFonts w:eastAsia="Arial"/>
                        <w:b/>
                        <w:smallCaps/>
                        <w:color w:val="2D2D2D"/>
                      </w:rPr>
                      <w:t>PRESERVING THE SEPARATION OF CHURCH AND STATE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4E08865A" wp14:editId="40F2A49C">
          <wp:simplePos x="0" y="0"/>
          <wp:positionH relativeFrom="column">
            <wp:posOffset>1570311</wp:posOffset>
          </wp:positionH>
          <wp:positionV relativeFrom="paragraph">
            <wp:posOffset>-76638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730D" w14:textId="77777777" w:rsidR="00D50572" w:rsidRDefault="00D50572">
      <w:pPr>
        <w:spacing w:after="0" w:line="240" w:lineRule="auto"/>
      </w:pPr>
      <w:r>
        <w:separator/>
      </w:r>
    </w:p>
  </w:footnote>
  <w:footnote w:type="continuationSeparator" w:id="0">
    <w:p w14:paraId="01015071" w14:textId="77777777" w:rsidR="00D50572" w:rsidRDefault="00D50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D8AC" w14:textId="77777777" w:rsidR="00B7126A" w:rsidRDefault="00B71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7F76" w14:textId="77777777" w:rsidR="00B7126A" w:rsidRDefault="00B71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6011" w14:textId="77777777" w:rsidR="00B7126A" w:rsidRDefault="00B71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15"/>
    <w:rsid w:val="003407F3"/>
    <w:rsid w:val="005215A5"/>
    <w:rsid w:val="00833D15"/>
    <w:rsid w:val="008A0E30"/>
    <w:rsid w:val="00AA3D75"/>
    <w:rsid w:val="00B7126A"/>
    <w:rsid w:val="00C24D2D"/>
    <w:rsid w:val="00D50572"/>
    <w:rsid w:val="00E44044"/>
    <w:rsid w:val="00F85DCB"/>
    <w:rsid w:val="00F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BF144"/>
  <w15:docId w15:val="{DA29FDD9-DE80-4961-B4A2-4CE68548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75"/>
  </w:style>
  <w:style w:type="paragraph" w:styleId="Footer">
    <w:name w:val="footer"/>
    <w:basedOn w:val="Normal"/>
    <w:link w:val="FooterChar"/>
    <w:uiPriority w:val="99"/>
    <w:unhideWhenUsed/>
    <w:rsid w:val="00AA3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Preserving the Separation of Church and State</dc:title>
  <dc:subject/>
  <dc:creator>K20 Center</dc:creator>
  <cp:keywords/>
  <dc:description/>
  <cp:lastModifiedBy>Gracia, Ann M.</cp:lastModifiedBy>
  <cp:revision>4</cp:revision>
  <dcterms:created xsi:type="dcterms:W3CDTF">2023-09-07T17:46:00Z</dcterms:created>
  <dcterms:modified xsi:type="dcterms:W3CDTF">2023-09-20T20:11:00Z</dcterms:modified>
  <cp:category/>
</cp:coreProperties>
</file>