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84"/>
        <w:gridCol w:w="2913"/>
        <w:gridCol w:w="4798"/>
        <w:gridCol w:w="4795"/>
      </w:tblGrid>
      <w:tr w:rsidR="00257B7D" w:rsidRPr="00DB6005" w14:paraId="13593FE4" w14:textId="77777777" w:rsidTr="006D507A">
        <w:trPr>
          <w:trHeight w:val="360"/>
          <w:jc w:val="center"/>
        </w:trPr>
        <w:tc>
          <w:tcPr>
            <w:tcW w:w="1667" w:type="pct"/>
            <w:gridSpan w:val="2"/>
            <w:shd w:val="clear" w:color="auto" w:fill="3A7C22" w:themeFill="accent6" w:themeFillShade="BF"/>
            <w:vAlign w:val="center"/>
          </w:tcPr>
          <w:p w14:paraId="043BD9AE" w14:textId="7AA44299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Anemia</w:t>
            </w:r>
          </w:p>
        </w:tc>
        <w:tc>
          <w:tcPr>
            <w:tcW w:w="1667" w:type="pct"/>
            <w:shd w:val="clear" w:color="auto" w:fill="3A7C22" w:themeFill="accent6" w:themeFillShade="BF"/>
            <w:vAlign w:val="center"/>
          </w:tcPr>
          <w:p w14:paraId="071A9911" w14:textId="0A9BDC19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Dehydration</w:t>
            </w:r>
          </w:p>
        </w:tc>
        <w:tc>
          <w:tcPr>
            <w:tcW w:w="1666" w:type="pct"/>
            <w:shd w:val="clear" w:color="auto" w:fill="3A7C22" w:themeFill="accent6" w:themeFillShade="BF"/>
            <w:vAlign w:val="center"/>
          </w:tcPr>
          <w:p w14:paraId="226EE523" w14:textId="18576FF2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Infection</w:t>
            </w:r>
          </w:p>
        </w:tc>
      </w:tr>
      <w:tr w:rsidR="00257B7D" w14:paraId="4A84F707" w14:textId="77777777" w:rsidTr="006D507A">
        <w:trPr>
          <w:trHeight w:val="1800"/>
          <w:jc w:val="center"/>
        </w:trPr>
        <w:tc>
          <w:tcPr>
            <w:tcW w:w="1667" w:type="pct"/>
            <w:gridSpan w:val="2"/>
          </w:tcPr>
          <w:p w14:paraId="1CD787D4" w14:textId="77777777" w:rsidR="00257B7D" w:rsidRPr="00257B7D" w:rsidRDefault="00257B7D" w:rsidP="00257B7D">
            <w:pPr>
              <w:pStyle w:val="BodyText"/>
              <w:spacing w:line="240" w:lineRule="auto"/>
              <w:jc w:val="center"/>
              <w:rPr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>CBC Indication: Low RBC</w:t>
            </w:r>
          </w:p>
          <w:p w14:paraId="7EE5A926" w14:textId="77777777" w:rsidR="00257B7D" w:rsidRPr="00257B7D" w:rsidRDefault="00257B7D" w:rsidP="00257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Condition in which there is a lack of sufficient healthy red blood cells (RBC) in your body</w:t>
            </w:r>
          </w:p>
          <w:p w14:paraId="61F4CEF0" w14:textId="2094935A" w:rsidR="00257B7D" w:rsidRPr="00257B7D" w:rsidRDefault="00257B7D" w:rsidP="00257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Indicator for other health issues (e.g., low iron, lung damage, low blood oxygen)</w:t>
            </w:r>
          </w:p>
        </w:tc>
        <w:tc>
          <w:tcPr>
            <w:tcW w:w="1667" w:type="pct"/>
          </w:tcPr>
          <w:p w14:paraId="17B4ACC8" w14:textId="10AC1F16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</w:t>
            </w:r>
            <w:r w:rsidR="006D507A" w:rsidRPr="00257B7D">
              <w:rPr>
                <w:b/>
                <w:bCs/>
                <w:sz w:val="21"/>
                <w:szCs w:val="21"/>
              </w:rPr>
              <w:t>Indication: Reduced Plasma Volume</w:t>
            </w:r>
          </w:p>
          <w:p w14:paraId="0F17C606" w14:textId="77777777" w:rsidR="00257B7D" w:rsidRPr="00257B7D" w:rsidRDefault="00257B7D" w:rsidP="00257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Occurs when a person uses or loses more fluids than they take in</w:t>
            </w:r>
          </w:p>
          <w:p w14:paraId="07B3C779" w14:textId="383CC9D5" w:rsidR="00257B7D" w:rsidRPr="00257B7D" w:rsidRDefault="00257B7D" w:rsidP="00257B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Can occur without any illness or infection</w:t>
            </w:r>
          </w:p>
        </w:tc>
        <w:tc>
          <w:tcPr>
            <w:tcW w:w="1666" w:type="pct"/>
          </w:tcPr>
          <w:p w14:paraId="2294A817" w14:textId="1D5F29C8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Indication: </w:t>
            </w:r>
            <w:r w:rsidR="006D507A" w:rsidRPr="00257B7D">
              <w:rPr>
                <w:b/>
                <w:bCs/>
                <w:sz w:val="21"/>
                <w:szCs w:val="21"/>
              </w:rPr>
              <w:t xml:space="preserve">Increased </w:t>
            </w:r>
            <w:r w:rsidRPr="00257B7D">
              <w:rPr>
                <w:b/>
                <w:bCs/>
                <w:sz w:val="21"/>
                <w:szCs w:val="21"/>
              </w:rPr>
              <w:t>WBC</w:t>
            </w:r>
          </w:p>
          <w:p w14:paraId="25802FB6" w14:textId="77777777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Presence of one or more pathogens in the body</w:t>
            </w:r>
          </w:p>
          <w:p w14:paraId="16F83138" w14:textId="3D05E071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Physical indication: presence of heat, pain, redness, swelling, and sometimes loss of function</w:t>
            </w:r>
          </w:p>
        </w:tc>
      </w:tr>
      <w:tr w:rsidR="00257B7D" w:rsidRPr="00DB6005" w14:paraId="6CD00AE2" w14:textId="77777777" w:rsidTr="006D507A">
        <w:trPr>
          <w:trHeight w:val="359"/>
          <w:jc w:val="center"/>
        </w:trPr>
        <w:tc>
          <w:tcPr>
            <w:tcW w:w="1667" w:type="pct"/>
            <w:gridSpan w:val="2"/>
            <w:shd w:val="clear" w:color="auto" w:fill="3A7C22" w:themeFill="accent6" w:themeFillShade="BF"/>
            <w:vAlign w:val="center"/>
          </w:tcPr>
          <w:p w14:paraId="6A059E88" w14:textId="34D5A355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Leukemia</w:t>
            </w:r>
          </w:p>
        </w:tc>
        <w:tc>
          <w:tcPr>
            <w:tcW w:w="1667" w:type="pct"/>
            <w:shd w:val="clear" w:color="auto" w:fill="3A7C22" w:themeFill="accent6" w:themeFillShade="BF"/>
            <w:vAlign w:val="center"/>
          </w:tcPr>
          <w:p w14:paraId="749FC32F" w14:textId="02E7C627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Leukopenia</w:t>
            </w:r>
          </w:p>
        </w:tc>
        <w:tc>
          <w:tcPr>
            <w:tcW w:w="1666" w:type="pct"/>
            <w:shd w:val="clear" w:color="auto" w:fill="3A7C22" w:themeFill="accent6" w:themeFillShade="BF"/>
            <w:vAlign w:val="center"/>
          </w:tcPr>
          <w:p w14:paraId="300FE4FA" w14:textId="10A98A95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Polycythemia</w:t>
            </w:r>
          </w:p>
        </w:tc>
      </w:tr>
      <w:tr w:rsidR="00257B7D" w14:paraId="6B0DA884" w14:textId="77777777" w:rsidTr="006D507A">
        <w:trPr>
          <w:trHeight w:val="1574"/>
          <w:jc w:val="center"/>
        </w:trPr>
        <w:tc>
          <w:tcPr>
            <w:tcW w:w="1667" w:type="pct"/>
            <w:gridSpan w:val="2"/>
          </w:tcPr>
          <w:p w14:paraId="1E5B0892" w14:textId="39F0B62D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Indication: </w:t>
            </w:r>
            <w:r w:rsidR="006D507A" w:rsidRPr="00257B7D">
              <w:rPr>
                <w:b/>
                <w:bCs/>
                <w:sz w:val="21"/>
                <w:szCs w:val="21"/>
              </w:rPr>
              <w:t xml:space="preserve">High </w:t>
            </w:r>
            <w:r w:rsidRPr="00257B7D">
              <w:rPr>
                <w:b/>
                <w:bCs/>
                <w:sz w:val="21"/>
                <w:szCs w:val="21"/>
              </w:rPr>
              <w:t>WBC</w:t>
            </w:r>
          </w:p>
          <w:p w14:paraId="25649492" w14:textId="77777777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Malignant, progressive disease in which bone marrow produces too many, immature, or abnormal white blood cells</w:t>
            </w:r>
          </w:p>
          <w:p w14:paraId="043E658F" w14:textId="1EA45C1D" w:rsidR="00257B7D" w:rsidRPr="00257B7D" w:rsidRDefault="00257B7D" w:rsidP="00257B7D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A term used for several different cancers of the blood and blood-forming tissues</w:t>
            </w:r>
          </w:p>
        </w:tc>
        <w:tc>
          <w:tcPr>
            <w:tcW w:w="1667" w:type="pct"/>
          </w:tcPr>
          <w:p w14:paraId="3D266480" w14:textId="566A34C4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Indication: </w:t>
            </w:r>
            <w:r w:rsidR="006D507A" w:rsidRPr="00257B7D">
              <w:rPr>
                <w:b/>
                <w:bCs/>
                <w:sz w:val="21"/>
                <w:szCs w:val="21"/>
              </w:rPr>
              <w:t xml:space="preserve">Low </w:t>
            </w:r>
            <w:r w:rsidRPr="00257B7D">
              <w:rPr>
                <w:b/>
                <w:bCs/>
                <w:sz w:val="21"/>
                <w:szCs w:val="21"/>
              </w:rPr>
              <w:t>WBC</w:t>
            </w:r>
          </w:p>
          <w:p w14:paraId="2CBB3D0E" w14:textId="77777777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Can result from infection or medication</w:t>
            </w:r>
          </w:p>
          <w:p w14:paraId="68CAD053" w14:textId="74DBBBA9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Can be caused by Rheumatoid Arthritis, vitamin deficiency, or side effect of cancer</w:t>
            </w:r>
          </w:p>
        </w:tc>
        <w:tc>
          <w:tcPr>
            <w:tcW w:w="1666" w:type="pct"/>
          </w:tcPr>
          <w:p w14:paraId="1EA74C7E" w14:textId="42C76C7F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Indication: </w:t>
            </w:r>
            <w:r w:rsidR="006D507A" w:rsidRPr="00257B7D">
              <w:rPr>
                <w:b/>
                <w:bCs/>
                <w:sz w:val="21"/>
                <w:szCs w:val="21"/>
              </w:rPr>
              <w:t xml:space="preserve">High </w:t>
            </w:r>
            <w:r w:rsidRPr="00257B7D">
              <w:rPr>
                <w:b/>
                <w:bCs/>
                <w:sz w:val="21"/>
                <w:szCs w:val="21"/>
              </w:rPr>
              <w:t>RBC</w:t>
            </w:r>
            <w:r w:rsidR="006D507A" w:rsidRPr="00257B7D">
              <w:rPr>
                <w:b/>
                <w:bCs/>
                <w:sz w:val="21"/>
                <w:szCs w:val="21"/>
              </w:rPr>
              <w:t>, Reduced Plasma Volume</w:t>
            </w:r>
          </w:p>
          <w:p w14:paraId="132E4CD3" w14:textId="77777777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Rare condition</w:t>
            </w:r>
          </w:p>
          <w:p w14:paraId="47A6F4E4" w14:textId="72460654" w:rsidR="00257B7D" w:rsidRPr="00257B7D" w:rsidRDefault="00257B7D" w:rsidP="00257B7D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Blood is thicker, which increases blood pressure, which increases risk for stroke and tissue or organ damage</w:t>
            </w:r>
          </w:p>
        </w:tc>
      </w:tr>
      <w:tr w:rsidR="00257B7D" w:rsidRPr="00DB6005" w14:paraId="6AF62090" w14:textId="77777777" w:rsidTr="006D507A">
        <w:trPr>
          <w:trHeight w:val="360"/>
          <w:jc w:val="center"/>
        </w:trPr>
        <w:tc>
          <w:tcPr>
            <w:tcW w:w="1667" w:type="pct"/>
            <w:gridSpan w:val="2"/>
            <w:shd w:val="clear" w:color="auto" w:fill="3A7C22" w:themeFill="accent6" w:themeFillShade="BF"/>
            <w:vAlign w:val="center"/>
          </w:tcPr>
          <w:p w14:paraId="0606BA0E" w14:textId="26331D23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Sickle Cell Anemia</w:t>
            </w:r>
          </w:p>
        </w:tc>
        <w:tc>
          <w:tcPr>
            <w:tcW w:w="1667" w:type="pct"/>
            <w:shd w:val="clear" w:color="auto" w:fill="3A7C22" w:themeFill="accent6" w:themeFillShade="BF"/>
            <w:vAlign w:val="center"/>
          </w:tcPr>
          <w:p w14:paraId="4B1C665B" w14:textId="11F18396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Thrombocytopenia</w:t>
            </w:r>
          </w:p>
        </w:tc>
        <w:tc>
          <w:tcPr>
            <w:tcW w:w="1666" w:type="pct"/>
            <w:shd w:val="clear" w:color="auto" w:fill="3A7C22" w:themeFill="accent6" w:themeFillShade="BF"/>
            <w:vAlign w:val="center"/>
          </w:tcPr>
          <w:p w14:paraId="1B8F7E89" w14:textId="7951C9FC" w:rsidR="00257B7D" w:rsidRPr="006D507A" w:rsidRDefault="00257B7D" w:rsidP="00257B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6D507A">
              <w:rPr>
                <w:b/>
                <w:bCs/>
                <w:color w:val="FFFFFF" w:themeColor="background1"/>
              </w:rPr>
              <w:t>Thrombocytosis</w:t>
            </w:r>
          </w:p>
        </w:tc>
      </w:tr>
      <w:tr w:rsidR="00257B7D" w14:paraId="6FAE343D" w14:textId="77777777" w:rsidTr="006D507A">
        <w:trPr>
          <w:trHeight w:val="1800"/>
          <w:jc w:val="center"/>
        </w:trPr>
        <w:tc>
          <w:tcPr>
            <w:tcW w:w="1667" w:type="pct"/>
            <w:gridSpan w:val="2"/>
          </w:tcPr>
          <w:p w14:paraId="0015AEA4" w14:textId="46E69159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Indication: </w:t>
            </w:r>
            <w:r w:rsidR="006D507A" w:rsidRPr="00257B7D">
              <w:rPr>
                <w:b/>
                <w:bCs/>
                <w:sz w:val="21"/>
                <w:szCs w:val="21"/>
              </w:rPr>
              <w:t xml:space="preserve">Low </w:t>
            </w:r>
            <w:r w:rsidRPr="00257B7D">
              <w:rPr>
                <w:b/>
                <w:bCs/>
                <w:sz w:val="21"/>
                <w:szCs w:val="21"/>
              </w:rPr>
              <w:t>RBC</w:t>
            </w:r>
            <w:r w:rsidR="006D507A" w:rsidRPr="00257B7D">
              <w:rPr>
                <w:b/>
                <w:bCs/>
                <w:sz w:val="21"/>
                <w:szCs w:val="21"/>
              </w:rPr>
              <w:t>, Misshapen Cells</w:t>
            </w:r>
          </w:p>
          <w:p w14:paraId="5AD9897E" w14:textId="77777777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Painful condition where red blood cells are crescent/sickle shaped, sticky, and rigid</w:t>
            </w:r>
          </w:p>
          <w:p w14:paraId="7F4C297F" w14:textId="667C7E4A" w:rsidR="00257B7D" w:rsidRPr="00257B7D" w:rsidRDefault="00257B7D" w:rsidP="00257B7D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 xml:space="preserve">RBCs die quickly resulting in a shortage </w:t>
            </w:r>
            <w:proofErr w:type="gramStart"/>
            <w:r w:rsidRPr="00257B7D">
              <w:rPr>
                <w:sz w:val="21"/>
                <w:szCs w:val="21"/>
              </w:rPr>
              <w:t>and also</w:t>
            </w:r>
            <w:proofErr w:type="gramEnd"/>
            <w:r w:rsidRPr="00257B7D">
              <w:rPr>
                <w:sz w:val="21"/>
                <w:szCs w:val="21"/>
              </w:rPr>
              <w:t xml:space="preserve"> low levels of oxygen in the blood</w:t>
            </w:r>
          </w:p>
        </w:tc>
        <w:tc>
          <w:tcPr>
            <w:tcW w:w="1667" w:type="pct"/>
          </w:tcPr>
          <w:p w14:paraId="4C2F42E6" w14:textId="674AAF7E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Indication: </w:t>
            </w:r>
            <w:r w:rsidR="006D507A" w:rsidRPr="00257B7D">
              <w:rPr>
                <w:b/>
                <w:bCs/>
                <w:sz w:val="21"/>
                <w:szCs w:val="21"/>
              </w:rPr>
              <w:t>Low Platelets</w:t>
            </w:r>
          </w:p>
          <w:p w14:paraId="27E0F0A3" w14:textId="4C264D0B" w:rsidR="00257B7D" w:rsidRPr="00257B7D" w:rsidRDefault="00257B7D" w:rsidP="00257B7D">
            <w:pPr>
              <w:pStyle w:val="BodyText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Can indicate anemia, leukemia, heavy alcohol use, medication, viral infection, bone and bone marrow disorders, or immune system disorders</w:t>
            </w:r>
          </w:p>
        </w:tc>
        <w:tc>
          <w:tcPr>
            <w:tcW w:w="1666" w:type="pct"/>
          </w:tcPr>
          <w:p w14:paraId="01C5416D" w14:textId="7EB0103D" w:rsidR="00257B7D" w:rsidRPr="00257B7D" w:rsidRDefault="00257B7D" w:rsidP="00257B7D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257B7D">
              <w:rPr>
                <w:b/>
                <w:bCs/>
                <w:sz w:val="21"/>
                <w:szCs w:val="21"/>
              </w:rPr>
              <w:t xml:space="preserve">CBC Indication: </w:t>
            </w:r>
            <w:r w:rsidR="006D507A" w:rsidRPr="00257B7D">
              <w:rPr>
                <w:b/>
                <w:bCs/>
                <w:sz w:val="21"/>
                <w:szCs w:val="21"/>
              </w:rPr>
              <w:t>High Platelets</w:t>
            </w:r>
          </w:p>
          <w:p w14:paraId="076B919F" w14:textId="77777777" w:rsidR="00257B7D" w:rsidRPr="00257B7D" w:rsidRDefault="00257B7D" w:rsidP="00257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Indicates infection</w:t>
            </w:r>
          </w:p>
          <w:p w14:paraId="7B7C6EA9" w14:textId="44BE3BE2" w:rsidR="00257B7D" w:rsidRPr="00257B7D" w:rsidRDefault="00257B7D" w:rsidP="00257B7D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257B7D">
              <w:rPr>
                <w:sz w:val="21"/>
                <w:szCs w:val="21"/>
              </w:rPr>
              <w:t>When no apparent underlying condition is known, it could be due to bone or bone marrow disease.</w:t>
            </w:r>
          </w:p>
        </w:tc>
      </w:tr>
      <w:tr w:rsidR="00257B7D" w14:paraId="58AA39BD" w14:textId="77777777" w:rsidTr="006D507A">
        <w:tblPrEx>
          <w:jc w:val="left"/>
        </w:tblPrEx>
        <w:trPr>
          <w:trHeight w:val="503"/>
        </w:trPr>
        <w:tc>
          <w:tcPr>
            <w:tcW w:w="655" w:type="pct"/>
            <w:vAlign w:val="center"/>
          </w:tcPr>
          <w:p w14:paraId="53CB27FB" w14:textId="77777777" w:rsidR="00257B7D" w:rsidRDefault="00257B7D" w:rsidP="00257B7D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Erythrocytes</w:t>
            </w:r>
          </w:p>
        </w:tc>
        <w:tc>
          <w:tcPr>
            <w:tcW w:w="4345" w:type="pct"/>
            <w:gridSpan w:val="3"/>
            <w:vAlign w:val="center"/>
          </w:tcPr>
          <w:p w14:paraId="31BDF569" w14:textId="2A4935A6" w:rsidR="00257B7D" w:rsidRPr="00257B7D" w:rsidRDefault="00257B7D" w:rsidP="00257B7D">
            <w:pPr>
              <w:pStyle w:val="BodyText"/>
              <w:spacing w:after="0" w:line="240" w:lineRule="auto"/>
              <w:rPr>
                <w:sz w:val="22"/>
              </w:rPr>
            </w:pPr>
            <w:r w:rsidRPr="00257B7D">
              <w:rPr>
                <w:sz w:val="22"/>
              </w:rPr>
              <w:t>Red blood cells (RBC)</w:t>
            </w:r>
          </w:p>
        </w:tc>
      </w:tr>
      <w:tr w:rsidR="00257B7D" w14:paraId="478EAE16" w14:textId="77777777" w:rsidTr="006D507A">
        <w:tblPrEx>
          <w:jc w:val="left"/>
        </w:tblPrEx>
        <w:trPr>
          <w:trHeight w:val="503"/>
        </w:trPr>
        <w:tc>
          <w:tcPr>
            <w:tcW w:w="655" w:type="pct"/>
            <w:vAlign w:val="center"/>
          </w:tcPr>
          <w:p w14:paraId="1575F642" w14:textId="77777777" w:rsidR="00257B7D" w:rsidRDefault="00257B7D" w:rsidP="00257B7D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Hemoglobin</w:t>
            </w:r>
          </w:p>
        </w:tc>
        <w:tc>
          <w:tcPr>
            <w:tcW w:w="4345" w:type="pct"/>
            <w:gridSpan w:val="3"/>
            <w:vAlign w:val="center"/>
          </w:tcPr>
          <w:p w14:paraId="46327BD4" w14:textId="559BEBA2" w:rsidR="00257B7D" w:rsidRPr="00257B7D" w:rsidRDefault="00257B7D" w:rsidP="00257B7D">
            <w:pPr>
              <w:pStyle w:val="BodyText"/>
              <w:spacing w:after="0" w:line="240" w:lineRule="auto"/>
              <w:rPr>
                <w:sz w:val="22"/>
              </w:rPr>
            </w:pPr>
            <w:r w:rsidRPr="00257B7D">
              <w:rPr>
                <w:sz w:val="22"/>
              </w:rPr>
              <w:t>Protein carried on red blood cells; contains iron; gives blood its red color</w:t>
            </w:r>
          </w:p>
        </w:tc>
      </w:tr>
      <w:tr w:rsidR="00257B7D" w14:paraId="68BE1D96" w14:textId="77777777" w:rsidTr="006D507A">
        <w:tblPrEx>
          <w:jc w:val="left"/>
        </w:tblPrEx>
        <w:trPr>
          <w:trHeight w:val="503"/>
        </w:trPr>
        <w:tc>
          <w:tcPr>
            <w:tcW w:w="655" w:type="pct"/>
            <w:vAlign w:val="center"/>
          </w:tcPr>
          <w:p w14:paraId="47B96B44" w14:textId="77777777" w:rsidR="00257B7D" w:rsidRDefault="00257B7D" w:rsidP="00257B7D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Leukocytes</w:t>
            </w:r>
          </w:p>
        </w:tc>
        <w:tc>
          <w:tcPr>
            <w:tcW w:w="4345" w:type="pct"/>
            <w:gridSpan w:val="3"/>
            <w:vAlign w:val="center"/>
          </w:tcPr>
          <w:p w14:paraId="3FAAAEDB" w14:textId="59AB86E2" w:rsidR="00257B7D" w:rsidRPr="00257B7D" w:rsidRDefault="00257B7D" w:rsidP="00257B7D">
            <w:pPr>
              <w:pStyle w:val="BodyText"/>
              <w:spacing w:after="0" w:line="240" w:lineRule="auto"/>
              <w:rPr>
                <w:sz w:val="22"/>
              </w:rPr>
            </w:pPr>
            <w:r w:rsidRPr="00257B7D">
              <w:rPr>
                <w:sz w:val="22"/>
              </w:rPr>
              <w:t>White blood cells (WBC)</w:t>
            </w:r>
          </w:p>
        </w:tc>
      </w:tr>
      <w:tr w:rsidR="00257B7D" w14:paraId="25763BED" w14:textId="77777777" w:rsidTr="006D507A">
        <w:tblPrEx>
          <w:jc w:val="left"/>
        </w:tblPrEx>
        <w:trPr>
          <w:trHeight w:val="503"/>
        </w:trPr>
        <w:tc>
          <w:tcPr>
            <w:tcW w:w="655" w:type="pct"/>
            <w:vAlign w:val="center"/>
          </w:tcPr>
          <w:p w14:paraId="6081F887" w14:textId="77777777" w:rsidR="00257B7D" w:rsidRPr="007810B0" w:rsidRDefault="00257B7D" w:rsidP="00257B7D">
            <w:pPr>
              <w:pStyle w:val="BodyText"/>
              <w:spacing w:after="0"/>
              <w:rPr>
                <w:b/>
                <w:bCs/>
              </w:rPr>
            </w:pPr>
            <w:r w:rsidRPr="007810B0">
              <w:rPr>
                <w:b/>
                <w:bCs/>
              </w:rPr>
              <w:t>Macrophage</w:t>
            </w:r>
          </w:p>
        </w:tc>
        <w:tc>
          <w:tcPr>
            <w:tcW w:w="4345" w:type="pct"/>
            <w:gridSpan w:val="3"/>
            <w:vAlign w:val="center"/>
          </w:tcPr>
          <w:p w14:paraId="106EBBAF" w14:textId="24626E8F" w:rsidR="00257B7D" w:rsidRPr="00257B7D" w:rsidRDefault="00257B7D" w:rsidP="00257B7D">
            <w:pPr>
              <w:pStyle w:val="BodyText"/>
              <w:spacing w:after="0" w:line="240" w:lineRule="auto"/>
              <w:rPr>
                <w:sz w:val="22"/>
              </w:rPr>
            </w:pPr>
            <w:r w:rsidRPr="00257B7D">
              <w:rPr>
                <w:sz w:val="22"/>
              </w:rPr>
              <w:t>A large leukocyte able to destroy old, damaged, and dead cells</w:t>
            </w:r>
          </w:p>
        </w:tc>
      </w:tr>
      <w:tr w:rsidR="00257B7D" w14:paraId="41E727BC" w14:textId="77777777" w:rsidTr="006D507A">
        <w:tblPrEx>
          <w:jc w:val="left"/>
        </w:tblPrEx>
        <w:trPr>
          <w:trHeight w:val="503"/>
        </w:trPr>
        <w:tc>
          <w:tcPr>
            <w:tcW w:w="655" w:type="pct"/>
            <w:vAlign w:val="center"/>
          </w:tcPr>
          <w:p w14:paraId="43E5AFDD" w14:textId="77777777" w:rsidR="00257B7D" w:rsidRDefault="00257B7D" w:rsidP="00257B7D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Thrombocytes</w:t>
            </w:r>
          </w:p>
        </w:tc>
        <w:tc>
          <w:tcPr>
            <w:tcW w:w="4345" w:type="pct"/>
            <w:gridSpan w:val="3"/>
            <w:vAlign w:val="center"/>
          </w:tcPr>
          <w:p w14:paraId="6A863A39" w14:textId="6F383159" w:rsidR="00257B7D" w:rsidRPr="00257B7D" w:rsidRDefault="00257B7D" w:rsidP="00257B7D">
            <w:pPr>
              <w:pStyle w:val="BodyText"/>
              <w:spacing w:after="0" w:line="240" w:lineRule="auto"/>
              <w:rPr>
                <w:sz w:val="22"/>
              </w:rPr>
            </w:pPr>
            <w:r w:rsidRPr="00257B7D">
              <w:rPr>
                <w:sz w:val="22"/>
              </w:rPr>
              <w:t>Platelets</w:t>
            </w:r>
          </w:p>
        </w:tc>
      </w:tr>
      <w:tr w:rsidR="00257B7D" w14:paraId="7BBD877D" w14:textId="77777777" w:rsidTr="006D507A">
        <w:tblPrEx>
          <w:jc w:val="left"/>
        </w:tblPrEx>
        <w:trPr>
          <w:trHeight w:val="503"/>
        </w:trPr>
        <w:tc>
          <w:tcPr>
            <w:tcW w:w="655" w:type="pct"/>
            <w:vAlign w:val="center"/>
          </w:tcPr>
          <w:p w14:paraId="5BEC2D9D" w14:textId="77777777" w:rsidR="00257B7D" w:rsidRPr="003E0283" w:rsidRDefault="00257B7D" w:rsidP="00257B7D">
            <w:pPr>
              <w:pStyle w:val="BodyText"/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Coagulation</w:t>
            </w:r>
          </w:p>
        </w:tc>
        <w:tc>
          <w:tcPr>
            <w:tcW w:w="4345" w:type="pct"/>
            <w:gridSpan w:val="3"/>
            <w:vAlign w:val="center"/>
          </w:tcPr>
          <w:p w14:paraId="21D4F773" w14:textId="59CA1586" w:rsidR="00257B7D" w:rsidRPr="00257B7D" w:rsidRDefault="00257B7D" w:rsidP="00257B7D">
            <w:pPr>
              <w:pStyle w:val="BodyText"/>
              <w:spacing w:after="0" w:line="240" w:lineRule="auto"/>
              <w:rPr>
                <w:sz w:val="22"/>
              </w:rPr>
            </w:pPr>
            <w:r w:rsidRPr="00257B7D">
              <w:rPr>
                <w:sz w:val="22"/>
              </w:rPr>
              <w:t>When blood becomes jelly-like and clumps together to form a clot</w:t>
            </w:r>
          </w:p>
        </w:tc>
      </w:tr>
      <w:tr w:rsidR="00257B7D" w14:paraId="6921BDAC" w14:textId="77777777" w:rsidTr="006D507A">
        <w:tblPrEx>
          <w:jc w:val="left"/>
        </w:tblPrEx>
        <w:trPr>
          <w:trHeight w:val="503"/>
        </w:trPr>
        <w:tc>
          <w:tcPr>
            <w:tcW w:w="655" w:type="pct"/>
            <w:vAlign w:val="center"/>
          </w:tcPr>
          <w:p w14:paraId="3103CFC1" w14:textId="77777777" w:rsidR="00257B7D" w:rsidRPr="003E0283" w:rsidRDefault="00257B7D" w:rsidP="00257B7D">
            <w:pPr>
              <w:pStyle w:val="BodyText"/>
              <w:spacing w:after="0"/>
              <w:rPr>
                <w:b/>
                <w:bCs/>
                <w:szCs w:val="24"/>
              </w:rPr>
            </w:pPr>
            <w:r w:rsidRPr="003E0283">
              <w:rPr>
                <w:b/>
                <w:bCs/>
                <w:szCs w:val="24"/>
              </w:rPr>
              <w:t>Plasma</w:t>
            </w:r>
          </w:p>
        </w:tc>
        <w:tc>
          <w:tcPr>
            <w:tcW w:w="4345" w:type="pct"/>
            <w:gridSpan w:val="3"/>
            <w:vAlign w:val="center"/>
          </w:tcPr>
          <w:p w14:paraId="7C265895" w14:textId="38A888A0" w:rsidR="00257B7D" w:rsidRPr="00257B7D" w:rsidRDefault="00257B7D" w:rsidP="00257B7D">
            <w:pPr>
              <w:pStyle w:val="BodyText"/>
              <w:spacing w:after="0" w:line="240" w:lineRule="auto"/>
              <w:rPr>
                <w:sz w:val="22"/>
              </w:rPr>
            </w:pPr>
            <w:r w:rsidRPr="00257B7D">
              <w:rPr>
                <w:sz w:val="22"/>
              </w:rPr>
              <w:t>The liquid portion of blood</w:t>
            </w:r>
          </w:p>
        </w:tc>
      </w:tr>
    </w:tbl>
    <w:p w14:paraId="770568C7" w14:textId="77777777" w:rsidR="00B67523" w:rsidRPr="00257B7D" w:rsidRDefault="00B67523">
      <w:pPr>
        <w:rPr>
          <w:sz w:val="4"/>
          <w:szCs w:val="2"/>
        </w:rPr>
      </w:pPr>
    </w:p>
    <w:sectPr w:rsidR="00B67523" w:rsidRPr="00257B7D" w:rsidSect="00257B7D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A3DE" w14:textId="77777777" w:rsidR="009102E6" w:rsidRDefault="009102E6">
      <w:pPr>
        <w:spacing w:after="0" w:line="240" w:lineRule="auto"/>
      </w:pPr>
      <w:r>
        <w:separator/>
      </w:r>
    </w:p>
  </w:endnote>
  <w:endnote w:type="continuationSeparator" w:id="0">
    <w:p w14:paraId="50F25A6C" w14:textId="77777777" w:rsidR="009102E6" w:rsidRDefault="0091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D354" w14:textId="77777777" w:rsidR="00140E3D" w:rsidRDefault="000000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9556B" wp14:editId="7D7EDF21">
              <wp:simplePos x="0" y="0"/>
              <wp:positionH relativeFrom="column">
                <wp:posOffset>4467225</wp:posOffset>
              </wp:positionH>
              <wp:positionV relativeFrom="paragraph">
                <wp:posOffset>-8255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59318" w14:textId="4DDDE536" w:rsidR="00140E3D" w:rsidRPr="00703CCE" w:rsidRDefault="00000000" w:rsidP="00703CC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ECF0E1A41E4458DB48FE270B1C538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507A" w:rsidRPr="00703CCE">
                                <w:t>IT’S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955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1.75pt;margin-top:-.6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STJDyt0AAAAKAQAADwAAAAAAAAAAAAAAAAC6BAAAZHJzL2Rv&#10;d25yZXYueG1sUEsFBgAAAAAEAAQA8wAAAMQFAAAAAA==&#10;" filled="f" stroked="f">
              <v:textbox>
                <w:txbxContent>
                  <w:p w14:paraId="2F659318" w14:textId="4DDDE536" w:rsidR="00140E3D" w:rsidRPr="00703CCE" w:rsidRDefault="00000000" w:rsidP="00703CC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ECF0E1A41E4458DB48FE270B1C538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507A" w:rsidRPr="00703CCE">
                          <w:t>IT’S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0742FF76" wp14:editId="304EF8C2">
          <wp:simplePos x="0" y="0"/>
          <wp:positionH relativeFrom="column">
            <wp:posOffset>4460875</wp:posOffset>
          </wp:positionH>
          <wp:positionV relativeFrom="paragraph">
            <wp:posOffset>45397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A895" w14:textId="77777777" w:rsidR="009102E6" w:rsidRDefault="009102E6">
      <w:pPr>
        <w:spacing w:after="0" w:line="240" w:lineRule="auto"/>
      </w:pPr>
      <w:r>
        <w:separator/>
      </w:r>
    </w:p>
  </w:footnote>
  <w:footnote w:type="continuationSeparator" w:id="0">
    <w:p w14:paraId="56A9AAD8" w14:textId="77777777" w:rsidR="009102E6" w:rsidRDefault="00910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9468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61F85"/>
    <w:multiLevelType w:val="hybridMultilevel"/>
    <w:tmpl w:val="4F0C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52BA"/>
    <w:multiLevelType w:val="hybridMultilevel"/>
    <w:tmpl w:val="C9D2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B32A6"/>
    <w:multiLevelType w:val="hybridMultilevel"/>
    <w:tmpl w:val="F41E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6309">
    <w:abstractNumId w:val="0"/>
  </w:num>
  <w:num w:numId="2" w16cid:durableId="146172734">
    <w:abstractNumId w:val="3"/>
  </w:num>
  <w:num w:numId="3" w16cid:durableId="475729063">
    <w:abstractNumId w:val="1"/>
  </w:num>
  <w:num w:numId="4" w16cid:durableId="98582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7D"/>
    <w:rsid w:val="0010364E"/>
    <w:rsid w:val="00140E3D"/>
    <w:rsid w:val="00257B7D"/>
    <w:rsid w:val="002E1258"/>
    <w:rsid w:val="00343824"/>
    <w:rsid w:val="006D507A"/>
    <w:rsid w:val="006E3042"/>
    <w:rsid w:val="00703CCE"/>
    <w:rsid w:val="009102E6"/>
    <w:rsid w:val="009B3FC9"/>
    <w:rsid w:val="009D17B1"/>
    <w:rsid w:val="00B67523"/>
    <w:rsid w:val="00D50CD4"/>
    <w:rsid w:val="00D63CFA"/>
    <w:rsid w:val="00D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39966"/>
  <w15:chartTrackingRefBased/>
  <w15:docId w15:val="{AA0910C9-A47E-42E8-95B1-1117D4F8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57B7D"/>
    <w:pPr>
      <w:spacing w:after="120" w:line="276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43824"/>
    <w:pPr>
      <w:ind w:left="720"/>
      <w:contextualSpacing/>
    </w:p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34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34382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82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43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82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7D"/>
    <w:rPr>
      <w:kern w:val="0"/>
      <w:sz w:val="24"/>
      <w14:ligatures w14:val="none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03CCE"/>
    <w:pPr>
      <w:jc w:val="right"/>
    </w:pPr>
    <w:rPr>
      <w:rFonts w:eastAsiaTheme="majorEastAsia" w:cstheme="minorHAnsi"/>
      <w:b/>
      <w:caps/>
      <w:color w:val="2D2D2D"/>
      <w:spacing w:val="-10"/>
      <w:szCs w:val="56"/>
    </w:rPr>
  </w:style>
  <w:style w:type="character" w:customStyle="1" w:styleId="LessonFooterChar">
    <w:name w:val="Lesson Footer Char"/>
    <w:basedOn w:val="TitleChar"/>
    <w:link w:val="LessonFooter"/>
    <w:rsid w:val="00703CCE"/>
    <w:rPr>
      <w:rFonts w:asciiTheme="majorHAnsi" w:eastAsiaTheme="majorEastAsia" w:hAnsiTheme="majorHAnsi" w:cstheme="minorHAnsi"/>
      <w:b/>
      <w:caps/>
      <w:color w:val="2D2D2D"/>
      <w:spacing w:val="-10"/>
      <w:kern w:val="0"/>
      <w:sz w:val="24"/>
      <w:szCs w:val="56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57B7D"/>
  </w:style>
  <w:style w:type="character" w:customStyle="1" w:styleId="BodyTextChar">
    <w:name w:val="Body Text Char"/>
    <w:basedOn w:val="DefaultParagraphFont"/>
    <w:link w:val="BodyText"/>
    <w:uiPriority w:val="99"/>
    <w:semiHidden/>
    <w:rsid w:val="00257B7D"/>
    <w:rPr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257B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7B7D"/>
    <w:rPr>
      <w:color w:val="808080"/>
    </w:rPr>
  </w:style>
  <w:style w:type="paragraph" w:styleId="ListBullet">
    <w:name w:val="List Bullet"/>
    <w:basedOn w:val="Normal"/>
    <w:uiPriority w:val="99"/>
    <w:unhideWhenUsed/>
    <w:rsid w:val="00257B7D"/>
    <w:pPr>
      <w:numPr>
        <w:numId w:val="1"/>
      </w:numPr>
      <w:contextualSpacing/>
    </w:pPr>
  </w:style>
  <w:style w:type="paragraph" w:customStyle="1" w:styleId="Style1">
    <w:name w:val="Style1"/>
    <w:basedOn w:val="Normal"/>
    <w:next w:val="Header"/>
    <w:autoRedefine/>
    <w:rsid w:val="00257B7D"/>
    <w:pPr>
      <w:jc w:val="center"/>
    </w:pPr>
    <w:rPr>
      <w:rFonts w:asciiTheme="majorHAnsi" w:hAnsiTheme="majorHAnsi"/>
      <w:b/>
      <w:color w:val="FFFFFF" w:themeColor="background1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7D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CF0E1A41E4458DB48FE270B1C5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B2184-F7EA-4D86-8EAF-6A539D1A44C6}"/>
      </w:docPartPr>
      <w:docPartBody>
        <w:p w:rsidR="00B1711E" w:rsidRDefault="00C702E0" w:rsidP="00C702E0">
          <w:pPr>
            <w:pStyle w:val="2ECF0E1A41E4458DB48FE270B1C538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E0"/>
    <w:rsid w:val="001024EF"/>
    <w:rsid w:val="0010364E"/>
    <w:rsid w:val="006E3042"/>
    <w:rsid w:val="00AC06F8"/>
    <w:rsid w:val="00B1711E"/>
    <w:rsid w:val="00C702E0"/>
    <w:rsid w:val="00D63CFA"/>
    <w:rsid w:val="00E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2E0"/>
    <w:rPr>
      <w:color w:val="808080"/>
    </w:rPr>
  </w:style>
  <w:style w:type="paragraph" w:customStyle="1" w:styleId="2ECF0E1A41E4458DB48FE270B1C538E9">
    <w:name w:val="2ECF0E1A41E4458DB48FE270B1C538E9"/>
    <w:rsid w:val="00C70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IN THE BLOOD</dc:title>
  <dc:subject/>
  <dc:creator>Shaffery, Heather M.</dc:creator>
  <cp:keywords/>
  <dc:description/>
  <cp:lastModifiedBy>McLeod Porter, Delma</cp:lastModifiedBy>
  <cp:revision>2</cp:revision>
  <dcterms:created xsi:type="dcterms:W3CDTF">2025-02-11T16:49:00Z</dcterms:created>
  <dcterms:modified xsi:type="dcterms:W3CDTF">2025-02-11T16:49:00Z</dcterms:modified>
</cp:coreProperties>
</file>