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E1DF2A" w14:textId="77777777" w:rsidR="00D01C69" w:rsidRDefault="00E4638C">
      <w:pPr>
        <w:pStyle w:val="Title"/>
      </w:pPr>
      <w:r>
        <w:t>Understanding ADSR in Music Production</w:t>
      </w:r>
    </w:p>
    <w:p w14:paraId="113B2FBE" w14:textId="05F0B45F" w:rsidR="00D01C69" w:rsidRDefault="00E4638C" w:rsidP="00F6140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ADSR is a term used in the world of music production as well as </w:t>
      </w:r>
      <w:r w:rsidR="00F6140A">
        <w:t>in</w:t>
      </w:r>
      <w:r>
        <w:t xml:space="preserve"> music synthesis. While it is possible to use ADSR tools without knowing the context behind them and arrive at one’s desired sound, if you </w:t>
      </w:r>
      <w:r w:rsidR="00F6140A">
        <w:t>understand</w:t>
      </w:r>
      <w:r>
        <w:t xml:space="preserve"> what is happening behind the scenes, it can help you achieve the desired results more quickly.</w:t>
      </w:r>
    </w:p>
    <w:p w14:paraId="26A34B91" w14:textId="77777777" w:rsidR="00D01C69" w:rsidRDefault="00E4638C">
      <w:pPr>
        <w:pStyle w:val="Heading1"/>
        <w:rPr>
          <w:i/>
        </w:rPr>
      </w:pPr>
      <w:r>
        <w:rPr>
          <w:i/>
        </w:rPr>
        <w:t>What is ADSR?</w:t>
      </w:r>
    </w:p>
    <w:p w14:paraId="6196AE59" w14:textId="77777777" w:rsidR="00D01C69" w:rsidRDefault="00E4638C" w:rsidP="00F6140A">
      <w:r>
        <w:t xml:space="preserve">ADSR refers to a type of “envelope.” Envelopes are a way to modulate or </w:t>
      </w:r>
      <w:r>
        <w:rPr>
          <w:i/>
        </w:rPr>
        <w:t>change</w:t>
      </w:r>
      <w:r>
        <w:t xml:space="preserve"> any part of the signal path (</w:t>
      </w:r>
      <w:proofErr w:type="spellStart"/>
      <w:r>
        <w:t>Mantione</w:t>
      </w:r>
      <w:proofErr w:type="spellEnd"/>
      <w:r>
        <w:t>, 2017), but for our purposes we will be focusing on “amplitude envelopes,” which have an effect on the perceived loudness of a signal. ADSR is an acronym for Attack, Decay, Sustain, and Release.</w:t>
      </w:r>
    </w:p>
    <w:p w14:paraId="6CAB80C5" w14:textId="77777777" w:rsidR="00D01C69" w:rsidRDefault="00E4638C">
      <w:pPr>
        <w:pStyle w:val="Heading2"/>
        <w:rPr>
          <w:b/>
        </w:rPr>
      </w:pPr>
      <w:r>
        <w:rPr>
          <w:b/>
        </w:rPr>
        <w:t>But what do those terms mean?</w:t>
      </w:r>
    </w:p>
    <w:p w14:paraId="0A77E9C0" w14:textId="77777777" w:rsidR="00D01C69" w:rsidRDefault="00D01C69">
      <w:pPr>
        <w:spacing w:after="0"/>
      </w:pPr>
    </w:p>
    <w:p w14:paraId="354F18AF" w14:textId="77777777" w:rsidR="00D01C69" w:rsidRDefault="00E4638C">
      <w:pPr>
        <w:numPr>
          <w:ilvl w:val="0"/>
          <w:numId w:val="1"/>
        </w:numPr>
        <w:spacing w:after="0"/>
      </w:pPr>
      <w:r>
        <w:t>“</w:t>
      </w:r>
      <w:r>
        <w:rPr>
          <w:b/>
        </w:rPr>
        <w:t xml:space="preserve">Attack: </w:t>
      </w:r>
      <w:r>
        <w:t>Sets the time it takes for the signal to rise from an amplitude of 0 to 100% (full amplitude).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4277748" wp14:editId="6917D062">
            <wp:simplePos x="0" y="0"/>
            <wp:positionH relativeFrom="column">
              <wp:posOffset>3190875</wp:posOffset>
            </wp:positionH>
            <wp:positionV relativeFrom="paragraph">
              <wp:posOffset>171450</wp:posOffset>
            </wp:positionV>
            <wp:extent cx="2996399" cy="2013000"/>
            <wp:effectExtent l="0" t="0" r="0" b="0"/>
            <wp:wrapSquare wrapText="bothSides" distT="114300" distB="114300" distL="114300" distR="11430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6399" cy="201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72B250" w14:textId="77777777" w:rsidR="00D01C69" w:rsidRDefault="00E4638C">
      <w:pPr>
        <w:numPr>
          <w:ilvl w:val="0"/>
          <w:numId w:val="1"/>
        </w:numPr>
        <w:spacing w:after="0"/>
      </w:pPr>
      <w:r>
        <w:rPr>
          <w:b/>
        </w:rPr>
        <w:t xml:space="preserve">Decay: </w:t>
      </w:r>
      <w:r>
        <w:t>Sets the time it takes for the signal to fall from 100% amplitude to the designated sustain level.</w:t>
      </w:r>
    </w:p>
    <w:p w14:paraId="692F7E80" w14:textId="77777777" w:rsidR="00D01C69" w:rsidRDefault="00E4638C">
      <w:pPr>
        <w:numPr>
          <w:ilvl w:val="0"/>
          <w:numId w:val="1"/>
        </w:numPr>
        <w:spacing w:after="0"/>
      </w:pPr>
      <w:r>
        <w:rPr>
          <w:b/>
        </w:rPr>
        <w:t>Sustain:</w:t>
      </w:r>
      <w:r>
        <w:t xml:space="preserve"> Sets the steady amplitude level produced when a [note] is held down.</w:t>
      </w:r>
    </w:p>
    <w:p w14:paraId="5E14F3BA" w14:textId="77777777" w:rsidR="00D01C69" w:rsidRDefault="00E4638C">
      <w:pPr>
        <w:numPr>
          <w:ilvl w:val="0"/>
          <w:numId w:val="1"/>
        </w:numPr>
        <w:spacing w:after="0"/>
      </w:pPr>
      <w:r>
        <w:rPr>
          <w:b/>
        </w:rPr>
        <w:t xml:space="preserve">Release: </w:t>
      </w:r>
      <w:r>
        <w:t>Sets the time it takes for the sound to decay from the sustain level to an amplitude of 0 when the [note] is released” (Apple, 2020).</w:t>
      </w:r>
    </w:p>
    <w:p w14:paraId="64D710BE" w14:textId="77777777" w:rsidR="00D01C69" w:rsidRDefault="00D01C69"/>
    <w:p w14:paraId="29AA31A0" w14:textId="77777777" w:rsidR="00D01C69" w:rsidRDefault="00D01C6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3E907C" w14:textId="77777777" w:rsidR="00D01C69" w:rsidRDefault="00E4638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</w:rPr>
      </w:pPr>
      <w:r>
        <w:rPr>
          <w:i/>
          <w:color w:val="3E5C61"/>
          <w:sz w:val="18"/>
          <w:szCs w:val="18"/>
        </w:rPr>
        <w:t>References:</w:t>
      </w:r>
    </w:p>
    <w:p w14:paraId="583991DA" w14:textId="1EAE5642" w:rsidR="00D01C69" w:rsidRDefault="0077380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</w:rPr>
      </w:pPr>
      <w:r>
        <w:rPr>
          <w:i/>
          <w:color w:val="3E5C61"/>
          <w:sz w:val="18"/>
          <w:szCs w:val="18"/>
        </w:rPr>
        <w:t>Login Pro User Guide</w:t>
      </w:r>
      <w:r w:rsidR="00C20646">
        <w:rPr>
          <w:i/>
          <w:color w:val="3E5C61"/>
          <w:sz w:val="18"/>
          <w:szCs w:val="18"/>
        </w:rPr>
        <w:t xml:space="preserve"> for Mac</w:t>
      </w:r>
      <w:r w:rsidR="00E4638C">
        <w:rPr>
          <w:i/>
          <w:color w:val="3E5C61"/>
          <w:sz w:val="18"/>
          <w:szCs w:val="18"/>
        </w:rPr>
        <w:t xml:space="preserve">. (2020). Attack, decay, sustain, and release. </w:t>
      </w:r>
      <w:r>
        <w:rPr>
          <w:i/>
          <w:color w:val="3E5C61"/>
          <w:sz w:val="18"/>
          <w:szCs w:val="18"/>
        </w:rPr>
        <w:t>Apple Support.</w:t>
      </w:r>
      <w:r w:rsidR="00E4638C">
        <w:rPr>
          <w:i/>
          <w:color w:val="3E5C61"/>
          <w:sz w:val="18"/>
          <w:szCs w:val="18"/>
        </w:rPr>
        <w:t xml:space="preserve"> </w:t>
      </w:r>
      <w:hyperlink r:id="rId9">
        <w:r w:rsidR="00E4638C">
          <w:rPr>
            <w:i/>
            <w:color w:val="1155CC"/>
            <w:sz w:val="18"/>
            <w:szCs w:val="18"/>
            <w:u w:val="single"/>
          </w:rPr>
          <w:t>https://support.apple.com/guide/logicpro/attack-decay-sustain-and-release-lgsife419620/mac</w:t>
        </w:r>
      </w:hyperlink>
      <w:r w:rsidR="00E4638C">
        <w:rPr>
          <w:i/>
          <w:color w:val="3E5C61"/>
          <w:sz w:val="18"/>
          <w:szCs w:val="18"/>
        </w:rPr>
        <w:t xml:space="preserve"> </w:t>
      </w:r>
    </w:p>
    <w:p w14:paraId="339D49DD" w14:textId="77777777" w:rsidR="00D01C69" w:rsidRDefault="00E4638C">
      <w:pPr>
        <w:spacing w:before="240" w:after="240"/>
        <w:ind w:left="720" w:hanging="720"/>
        <w:rPr>
          <w:i/>
          <w:color w:val="3E5C61"/>
          <w:sz w:val="18"/>
          <w:szCs w:val="18"/>
        </w:rPr>
      </w:pPr>
      <w:proofErr w:type="spellStart"/>
      <w:r>
        <w:rPr>
          <w:i/>
          <w:color w:val="3E5C61"/>
          <w:sz w:val="18"/>
          <w:szCs w:val="18"/>
        </w:rPr>
        <w:t>Mantione</w:t>
      </w:r>
      <w:proofErr w:type="spellEnd"/>
      <w:r>
        <w:rPr>
          <w:i/>
          <w:color w:val="3E5C61"/>
          <w:sz w:val="18"/>
          <w:szCs w:val="18"/>
        </w:rPr>
        <w:t xml:space="preserve">, P. (2017, July 16). Synth envelopes 101: Attack, decay, sustain, release (ADSR). Pro Audio Files. </w:t>
      </w:r>
      <w:hyperlink r:id="rId10">
        <w:r>
          <w:rPr>
            <w:i/>
            <w:color w:val="1155CC"/>
            <w:sz w:val="18"/>
            <w:szCs w:val="18"/>
            <w:u w:val="single"/>
          </w:rPr>
          <w:t>https://theproaudiofiles.com/synthesis-101-envelope-parameters-uses/</w:t>
        </w:r>
      </w:hyperlink>
      <w:r>
        <w:rPr>
          <w:i/>
          <w:color w:val="3E5C61"/>
          <w:sz w:val="18"/>
          <w:szCs w:val="18"/>
        </w:rPr>
        <w:t xml:space="preserve"> </w:t>
      </w:r>
    </w:p>
    <w:sectPr w:rsidR="00D01C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C38E" w14:textId="77777777" w:rsidR="00A74023" w:rsidRDefault="00A74023">
      <w:pPr>
        <w:spacing w:after="0" w:line="240" w:lineRule="auto"/>
      </w:pPr>
      <w:r>
        <w:separator/>
      </w:r>
    </w:p>
  </w:endnote>
  <w:endnote w:type="continuationSeparator" w:id="0">
    <w:p w14:paraId="3CFFE1FC" w14:textId="77777777" w:rsidR="00A74023" w:rsidRDefault="00A7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B308" w14:textId="77777777" w:rsidR="002E0199" w:rsidRDefault="002E01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6A680" w14:textId="03283A71" w:rsidR="00D01C69" w:rsidRDefault="00C746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67CB463" wp14:editId="639636D9">
              <wp:simplePos x="0" y="0"/>
              <wp:positionH relativeFrom="column">
                <wp:posOffset>524933</wp:posOffset>
              </wp:positionH>
              <wp:positionV relativeFrom="paragraph">
                <wp:posOffset>-254212</wp:posOffset>
              </wp:positionV>
              <wp:extent cx="4959350" cy="28575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93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61913" w14:textId="77777777" w:rsidR="00D01C69" w:rsidRPr="00116D17" w:rsidRDefault="00E4638C" w:rsidP="00116D17">
                          <w:pPr>
                            <w:pStyle w:val="LessonFooter"/>
                          </w:pPr>
                          <w:r w:rsidRPr="00116D17">
                            <w:t>Shaping Soundscapes: ADSR in Ensemble Performance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7CB463" id="Rectangle 13" o:spid="_x0000_s1026" style="position:absolute;margin-left:41.35pt;margin-top:-20pt;width:390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" filled="f" stroked="f">
              <v:textbox inset="2.53958mm,1.2694mm,2.53958mm,1.2694mm">
                <w:txbxContent>
                  <w:p w14:paraId="3AD61913" w14:textId="77777777" w:rsidR="00D01C69" w:rsidRPr="00116D17" w:rsidRDefault="00E4638C" w:rsidP="00116D17">
                    <w:pPr>
                      <w:pStyle w:val="LessonFooter"/>
                    </w:pPr>
                    <w:r w:rsidRPr="00116D17">
                      <w:t>Shaping Soundscapes: ADSR in Ensemble Performance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13198E17" wp14:editId="6E6C20D6">
          <wp:simplePos x="0" y="0"/>
          <wp:positionH relativeFrom="column">
            <wp:posOffset>1371600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9676" w14:textId="77777777" w:rsidR="002E0199" w:rsidRDefault="002E0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ED" w14:textId="77777777" w:rsidR="00A74023" w:rsidRDefault="00A74023">
      <w:pPr>
        <w:spacing w:after="0" w:line="240" w:lineRule="auto"/>
      </w:pPr>
      <w:r>
        <w:separator/>
      </w:r>
    </w:p>
  </w:footnote>
  <w:footnote w:type="continuationSeparator" w:id="0">
    <w:p w14:paraId="2CE94C22" w14:textId="77777777" w:rsidR="00A74023" w:rsidRDefault="00A74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109A" w14:textId="77777777" w:rsidR="00C746FE" w:rsidRDefault="00C74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37CCC" w14:textId="77777777" w:rsidR="00C746FE" w:rsidRDefault="00C746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D4D2" w14:textId="77777777" w:rsidR="00C746FE" w:rsidRDefault="00C74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5797"/>
    <w:multiLevelType w:val="multilevel"/>
    <w:tmpl w:val="0290C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009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69"/>
    <w:rsid w:val="00102804"/>
    <w:rsid w:val="00116D17"/>
    <w:rsid w:val="002E0199"/>
    <w:rsid w:val="0077380C"/>
    <w:rsid w:val="007E401F"/>
    <w:rsid w:val="00842F06"/>
    <w:rsid w:val="00930C18"/>
    <w:rsid w:val="009A79B5"/>
    <w:rsid w:val="009D0A46"/>
    <w:rsid w:val="00A4534D"/>
    <w:rsid w:val="00A74023"/>
    <w:rsid w:val="00A83B01"/>
    <w:rsid w:val="00B56E5E"/>
    <w:rsid w:val="00B7489E"/>
    <w:rsid w:val="00BC708C"/>
    <w:rsid w:val="00C20646"/>
    <w:rsid w:val="00C746FE"/>
    <w:rsid w:val="00D01C69"/>
    <w:rsid w:val="00E4638C"/>
    <w:rsid w:val="00E90608"/>
    <w:rsid w:val="00F22EBD"/>
    <w:rsid w:val="00F23F5F"/>
    <w:rsid w:val="00F41569"/>
    <w:rsid w:val="00F6140A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2AEAD"/>
  <w15:docId w15:val="{9D64CE3E-CAF7-214F-9CFB-9908BC35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theproaudiofiles.com/synthesis-101-envelope-parameters-us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apple.com/guide/logicpro/attack-decay-sustain-and-release-lgsife419620/mac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IU2/hZyv/PgMcDXY4hjw+mwL3w==">CgMxLjA4AHIhMUl3bWMtdE1ndnJUTUlRLXhnN3J5cHhvNmFZWk5EcGZT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1274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Shaping Soundscapes: ADSR in Ensemble Performance</vt:lpstr>
    </vt:vector>
  </TitlesOfParts>
  <Manager/>
  <Company/>
  <LinksUpToDate>false</LinksUpToDate>
  <CharactersWithSpaces>1505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Shaping Soundscapes: ADSR in Ensemble Performance</dc:title>
  <dc:subject/>
  <dc:creator>K20 Center</dc:creator>
  <cp:keywords/>
  <dc:description/>
  <cp:lastModifiedBy>Gracia, Ann M.</cp:lastModifiedBy>
  <cp:revision>8</cp:revision>
  <dcterms:created xsi:type="dcterms:W3CDTF">2024-04-30T18:22:00Z</dcterms:created>
  <dcterms:modified xsi:type="dcterms:W3CDTF">2024-05-02T16:30:00Z</dcterms:modified>
  <cp:category/>
</cp:coreProperties>
</file>