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004722" w14:textId="1B7DA11C" w:rsidR="00446C13" w:rsidRPr="00DC7A6D" w:rsidRDefault="001E2960" w:rsidP="00DC7A6D">
      <w:pPr>
        <w:pStyle w:val="Title"/>
      </w:pPr>
      <w:r>
        <w:t>ONE-PAGER RUBRIC</w:t>
      </w:r>
    </w:p>
    <w:p w14:paraId="562D854E" w14:textId="77777777" w:rsidR="001E2960" w:rsidRPr="001E2960" w:rsidRDefault="001E2960" w:rsidP="001E2960">
      <w:pPr>
        <w:rPr>
          <w:rFonts w:eastAsia="Calibri" w:cstheme="minorHAnsi"/>
          <w:szCs w:val="24"/>
        </w:rPr>
      </w:pPr>
      <w:r w:rsidRPr="001E2960">
        <w:rPr>
          <w:rFonts w:eastAsia="Calibri" w:cstheme="minorHAnsi"/>
          <w:szCs w:val="24"/>
        </w:rPr>
        <w:t xml:space="preserve">Directions: Write a One-Pager answering one of the following questions: </w:t>
      </w:r>
    </w:p>
    <w:p w14:paraId="2B5FDABA" w14:textId="77777777" w:rsidR="001E2960" w:rsidRPr="001E2960" w:rsidRDefault="001E2960" w:rsidP="001E2960">
      <w:pPr>
        <w:pStyle w:val="ListParagraph"/>
        <w:widowControl w:val="0"/>
        <w:numPr>
          <w:ilvl w:val="0"/>
          <w:numId w:val="13"/>
        </w:numPr>
        <w:spacing w:before="104" w:after="0" w:line="240" w:lineRule="auto"/>
        <w:rPr>
          <w:rFonts w:eastAsia="Calibri" w:cstheme="minorHAnsi"/>
          <w:color w:val="000000"/>
          <w:szCs w:val="24"/>
        </w:rPr>
      </w:pPr>
      <w:r w:rsidRPr="001E2960">
        <w:rPr>
          <w:rFonts w:eastAsia="Calibri" w:cstheme="minorHAnsi"/>
          <w:szCs w:val="24"/>
        </w:rPr>
        <w:t>How do we, as humans, overcome adversity?</w:t>
      </w:r>
    </w:p>
    <w:p w14:paraId="7076D1C1" w14:textId="2A848E0A" w:rsidR="001E2960" w:rsidRPr="001E2960" w:rsidRDefault="001E2960" w:rsidP="001E2960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eastAsia="Calibri" w:cstheme="minorHAnsi"/>
          <w:szCs w:val="24"/>
        </w:rPr>
      </w:pPr>
      <w:r w:rsidRPr="001E2960">
        <w:rPr>
          <w:rFonts w:eastAsia="Calibri" w:cstheme="minorHAnsi"/>
          <w:szCs w:val="24"/>
        </w:rPr>
        <w:t xml:space="preserve">How has the field of nursing changed from the Civil War to the present? </w:t>
      </w:r>
    </w:p>
    <w:p w14:paraId="7AD460DC" w14:textId="77777777" w:rsidR="001E2960" w:rsidRPr="001E2960" w:rsidRDefault="001E2960" w:rsidP="001E2960">
      <w:pPr>
        <w:widowControl w:val="0"/>
        <w:spacing w:before="104" w:line="240" w:lineRule="auto"/>
        <w:rPr>
          <w:rFonts w:eastAsia="Calibri" w:cstheme="minorHAnsi"/>
          <w:szCs w:val="24"/>
        </w:rPr>
      </w:pPr>
      <w:r w:rsidRPr="001E2960">
        <w:rPr>
          <w:rFonts w:eastAsia="Calibri" w:cstheme="minorHAnsi"/>
          <w:szCs w:val="24"/>
        </w:rPr>
        <w:t>Use information from the Senses of War chart, the Alcott/Whitman excerpts, and your experience with the nurse interview and triage activity.</w:t>
      </w:r>
    </w:p>
    <w:tbl>
      <w:tblPr>
        <w:tblpPr w:leftFromText="180" w:rightFromText="180" w:vertAnchor="text" w:horzAnchor="margin" w:tblpY="60"/>
        <w:tblW w:w="934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1868"/>
        <w:gridCol w:w="1868"/>
        <w:gridCol w:w="1868"/>
        <w:gridCol w:w="1868"/>
        <w:gridCol w:w="1868"/>
      </w:tblGrid>
      <w:tr w:rsidR="001E2960" w14:paraId="6D837EBA" w14:textId="77777777" w:rsidTr="005D2038">
        <w:trPr>
          <w:trHeight w:val="372"/>
        </w:trPr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9C3A" w14:textId="77777777" w:rsidR="001E2960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Criteria</w:t>
            </w:r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16FD" w14:textId="77777777" w:rsidR="001E2960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1 Point</w:t>
            </w:r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D168" w14:textId="77777777" w:rsidR="001E2960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2 Points</w:t>
            </w:r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7965" w14:textId="77777777" w:rsidR="001E2960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3 Points</w:t>
            </w:r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DFC6" w14:textId="77777777" w:rsidR="001E2960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4 Points</w:t>
            </w:r>
          </w:p>
        </w:tc>
      </w:tr>
      <w:tr w:rsidR="001E2960" w14:paraId="5A4ABEBB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19091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  <w:t>Evaluating Similar Themes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3F334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Does not evaluate how texts address similar themes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5D446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Partially evaluates how texts address similar themes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7F15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Mostly evaluates how texts address similar themes with some textual evidence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139FE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Thoroughly evaluates how texts address similar themes with strong textual evidence</w:t>
            </w:r>
          </w:p>
        </w:tc>
      </w:tr>
      <w:tr w:rsidR="001E2960" w14:paraId="79256F6F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F6B6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  <w:t>Composing Informative Essay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C515F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Essay lacks introduction, thesis, evidence, structure, style, and literary devices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A9EA0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Essay includes some elements but lacks coherence and organization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441C1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Essay includes most elements with basic integration and organization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B7CF4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Essay effectively includes all elements with sophisticated integration and organization</w:t>
            </w:r>
          </w:p>
        </w:tc>
      </w:tr>
      <w:tr w:rsidR="001E2960" w14:paraId="5107FBBD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0EA83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  <w:t>Use of Quotes and Examples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180B9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Does not use quotes and examples from provided texts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30F2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Some attempt to incorporate quotes and examples but lacks relevance or clarity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6716E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Uses quotes and examples effectively to support claims with some clarity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A67AC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Utilizes quotes and examples adeptly to enhance arguments with clear and insightful connections</w:t>
            </w:r>
          </w:p>
        </w:tc>
      </w:tr>
      <w:tr w:rsidR="001E2960" w14:paraId="2412733A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15BBA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991B1E"/>
                <w:sz w:val="21"/>
                <w:szCs w:val="21"/>
              </w:rPr>
              <w:t>Integration of Nurse Interview and Triage Activity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8AEC8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Does not incorporate revelations from the nurse interview and triage activity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6220C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Partially includes insights from the nurse interview and triage activity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4F5B4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Integrates some revelations from the nurse interview and triage activity with moderate success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3084E" w14:textId="77777777" w:rsidR="001E2960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333333"/>
                <w:sz w:val="21"/>
                <w:szCs w:val="21"/>
              </w:rPr>
              <w:t>Successfully integrates meaningful revelations from the nurse interview and triage activity</w:t>
            </w:r>
          </w:p>
        </w:tc>
      </w:tr>
    </w:tbl>
    <w:p w14:paraId="377B5439" w14:textId="5F0835AC" w:rsidR="007C36E9" w:rsidRDefault="007C36E9" w:rsidP="007C36E9">
      <w:pPr>
        <w:pStyle w:val="BodyText"/>
      </w:pPr>
    </w:p>
    <w:p w14:paraId="2B5D37D7" w14:textId="19BFF3F5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3FB9" w14:textId="77777777" w:rsidR="001E2960" w:rsidRDefault="001E2960" w:rsidP="00293785">
      <w:pPr>
        <w:spacing w:after="0" w:line="240" w:lineRule="auto"/>
      </w:pPr>
      <w:r>
        <w:separator/>
      </w:r>
    </w:p>
  </w:endnote>
  <w:endnote w:type="continuationSeparator" w:id="0">
    <w:p w14:paraId="757D56DB" w14:textId="77777777" w:rsidR="001E2960" w:rsidRDefault="001E29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F4AD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74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B012C2" wp14:editId="27CC756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BD71D" w14:textId="6B0E7AB3" w:rsidR="00293785" w:rsidRDefault="005D203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9C633C57DA8949BAAC91EA786D7B8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E2960">
                                <w:t>Nursing Then and 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012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CBD71D" w14:textId="6B0E7AB3" w:rsidR="00293785" w:rsidRDefault="000E05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9C633C57DA8949BAAC91EA786D7B8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E2960">
                          <w:t>Nursing Then and 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9C154A6" wp14:editId="38D948C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DA9D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98A8" w14:textId="77777777" w:rsidR="001E2960" w:rsidRDefault="001E2960" w:rsidP="00293785">
      <w:pPr>
        <w:spacing w:after="0" w:line="240" w:lineRule="auto"/>
      </w:pPr>
      <w:r>
        <w:separator/>
      </w:r>
    </w:p>
  </w:footnote>
  <w:footnote w:type="continuationSeparator" w:id="0">
    <w:p w14:paraId="6496602B" w14:textId="77777777" w:rsidR="001E2960" w:rsidRDefault="001E296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6E11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E4A2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8DBE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5D1F"/>
    <w:multiLevelType w:val="hybridMultilevel"/>
    <w:tmpl w:val="4D0C3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2A96"/>
    <w:multiLevelType w:val="multilevel"/>
    <w:tmpl w:val="DC0687D2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FFFFFF"/>
        <w:sz w:val="52"/>
        <w:szCs w:val="5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DCBA25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3E5C61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9967"/>
        <w:sz w:val="13"/>
        <w:szCs w:val="13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1B1E"/>
        <w:sz w:val="13"/>
        <w:szCs w:val="13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10"/>
  </w:num>
  <w:num w:numId="9" w16cid:durableId="1048140081">
    <w:abstractNumId w:val="11"/>
  </w:num>
  <w:num w:numId="10" w16cid:durableId="1471896044">
    <w:abstractNumId w:val="12"/>
  </w:num>
  <w:num w:numId="11" w16cid:durableId="1434518601">
    <w:abstractNumId w:val="1"/>
  </w:num>
  <w:num w:numId="12" w16cid:durableId="1845632718">
    <w:abstractNumId w:val="7"/>
  </w:num>
  <w:num w:numId="13" w16cid:durableId="189400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0"/>
    <w:rsid w:val="0004006F"/>
    <w:rsid w:val="00053775"/>
    <w:rsid w:val="0005619A"/>
    <w:rsid w:val="0008589D"/>
    <w:rsid w:val="000E050D"/>
    <w:rsid w:val="0011259B"/>
    <w:rsid w:val="00116FDD"/>
    <w:rsid w:val="00125621"/>
    <w:rsid w:val="001A3324"/>
    <w:rsid w:val="001A7919"/>
    <w:rsid w:val="001D0BBF"/>
    <w:rsid w:val="001E1F85"/>
    <w:rsid w:val="001E2960"/>
    <w:rsid w:val="001F125D"/>
    <w:rsid w:val="002315DE"/>
    <w:rsid w:val="002345CC"/>
    <w:rsid w:val="00293785"/>
    <w:rsid w:val="002C0879"/>
    <w:rsid w:val="002C37B4"/>
    <w:rsid w:val="002D616F"/>
    <w:rsid w:val="0036040A"/>
    <w:rsid w:val="00397FA9"/>
    <w:rsid w:val="003A448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5D2038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AAA5"/>
  <w15:docId w15:val="{26D2EF39-F2BC-E349-9299-89CCCB09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C633C57DA8949BAAC91EA786D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3858-28F0-214A-910C-251A86EB7006}"/>
      </w:docPartPr>
      <w:docPartBody>
        <w:p w:rsidR="00200E87" w:rsidRDefault="00200E87">
          <w:pPr>
            <w:pStyle w:val="109C633C57DA8949BAAC91EA786D7B8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7"/>
    <w:rsid w:val="0020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9C633C57DA8949BAAC91EA786D7B89">
    <w:name w:val="109C633C57DA8949BAAC91EA786D7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13</TotalTime>
  <Pages>1</Pages>
  <Words>296</Words>
  <Characters>1442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Then and Now</vt:lpstr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Then and Now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2024-04-18T18:06:00Z</dcterms:created>
  <dcterms:modified xsi:type="dcterms:W3CDTF">2024-04-22T15:45:00Z</dcterms:modified>
  <cp:category/>
</cp:coreProperties>
</file>