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1ADCD3" w14:textId="043D7E3D" w:rsidR="00446C13" w:rsidRPr="001872E7" w:rsidRDefault="0064761A" w:rsidP="001872E7">
      <w:pPr>
        <w:pStyle w:val="Title"/>
      </w:pPr>
      <w:r>
        <w:t>Venn Diagram</w:t>
      </w:r>
      <w:r w:rsidR="00793991">
        <w:t xml:space="preserve"> </w:t>
      </w:r>
      <w:r w:rsidR="0018442F">
        <w:t xml:space="preserve">and Essential Questions </w:t>
      </w:r>
      <w:r w:rsidR="00793991">
        <w:t>Rubric</w:t>
      </w:r>
    </w:p>
    <w:tbl>
      <w:tblPr>
        <w:tblStyle w:val="TableGrid"/>
        <w:tblW w:w="13500" w:type="dxa"/>
        <w:tblInd w:w="-3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2595"/>
        <w:gridCol w:w="2160"/>
        <w:gridCol w:w="2700"/>
        <w:gridCol w:w="2610"/>
        <w:gridCol w:w="2700"/>
      </w:tblGrid>
      <w:tr w:rsidR="003B6158" w14:paraId="2933E191" w14:textId="16877E08" w:rsidTr="003B6158">
        <w:trPr>
          <w:tblHeader/>
        </w:trPr>
        <w:tc>
          <w:tcPr>
            <w:tcW w:w="735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68274CA4" w14:textId="733E9A2E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Score</w:t>
            </w:r>
          </w:p>
        </w:tc>
        <w:tc>
          <w:tcPr>
            <w:tcW w:w="2595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46B42690" w14:textId="7CE6A4D1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Focus</w:t>
            </w:r>
          </w:p>
        </w:tc>
        <w:tc>
          <w:tcPr>
            <w:tcW w:w="216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08384D3D" w14:textId="79816389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Organization</w:t>
            </w:r>
          </w:p>
        </w:tc>
        <w:tc>
          <w:tcPr>
            <w:tcW w:w="270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72F7D85A" w14:textId="3DFBCC16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Development</w:t>
            </w:r>
          </w:p>
        </w:tc>
        <w:tc>
          <w:tcPr>
            <w:tcW w:w="261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2D043186" w14:textId="2C377AC6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Language and Vocabulary</w:t>
            </w:r>
          </w:p>
        </w:tc>
        <w:tc>
          <w:tcPr>
            <w:tcW w:w="270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66FAC182" w14:textId="2F54C66A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Conventions</w:t>
            </w:r>
          </w:p>
        </w:tc>
      </w:tr>
      <w:tr w:rsidR="0018442F" w14:paraId="1433FF98" w14:textId="3CDE98CE" w:rsidTr="003B6158">
        <w:tc>
          <w:tcPr>
            <w:tcW w:w="735" w:type="dxa"/>
            <w:tcMar>
              <w:top w:w="58" w:type="dxa"/>
              <w:bottom w:w="58" w:type="dxa"/>
            </w:tcMar>
          </w:tcPr>
          <w:p w14:paraId="46614EAB" w14:textId="6C16916D" w:rsidR="0018442F" w:rsidRPr="00BE5B36" w:rsidRDefault="0018442F" w:rsidP="0018442F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4</w:t>
            </w:r>
          </w:p>
        </w:tc>
        <w:tc>
          <w:tcPr>
            <w:tcW w:w="2595" w:type="dxa"/>
            <w:tcMar>
              <w:top w:w="58" w:type="dxa"/>
              <w:bottom w:w="58" w:type="dxa"/>
            </w:tcMar>
          </w:tcPr>
          <w:p w14:paraId="1E13CB8B" w14:textId="73BB0B45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N/A</w:t>
            </w:r>
          </w:p>
        </w:tc>
        <w:tc>
          <w:tcPr>
            <w:tcW w:w="2160" w:type="dxa"/>
            <w:tcMar>
              <w:top w:w="58" w:type="dxa"/>
              <w:bottom w:w="58" w:type="dxa"/>
            </w:tcMar>
          </w:tcPr>
          <w:p w14:paraId="787449AB" w14:textId="273385B6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</w:t>
            </w:r>
            <w:r>
              <w:rPr>
                <w:sz w:val="16"/>
                <w:szCs w:val="16"/>
              </w:rPr>
              <w:t>organizes</w:t>
            </w:r>
            <w:r w:rsidRPr="0018442F">
              <w:rPr>
                <w:sz w:val="16"/>
                <w:szCs w:val="16"/>
              </w:rPr>
              <w:t xml:space="preserve"> information properly within the Venn </w:t>
            </w:r>
            <w:r>
              <w:rPr>
                <w:sz w:val="16"/>
                <w:szCs w:val="16"/>
              </w:rPr>
              <w:t>d</w:t>
            </w:r>
            <w:r w:rsidRPr="0018442F">
              <w:rPr>
                <w:sz w:val="16"/>
                <w:szCs w:val="16"/>
              </w:rPr>
              <w:t>iagram. Additional information that the student wants to include but does not fit is mentioned in the response to the essential questions.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59C2334C" w14:textId="5F0E1181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provides 3 or more ways in which each story is unique, 3 or more ways in which each pair of stories is similar, and 2 or more ways </w:t>
            </w:r>
            <w:r w:rsidR="00B81970">
              <w:rPr>
                <w:sz w:val="16"/>
                <w:szCs w:val="16"/>
              </w:rPr>
              <w:t xml:space="preserve">that </w:t>
            </w:r>
            <w:r w:rsidRPr="0018442F">
              <w:rPr>
                <w:sz w:val="16"/>
                <w:szCs w:val="16"/>
              </w:rPr>
              <w:t>all three stories are similar.</w:t>
            </w:r>
          </w:p>
          <w:p w14:paraId="0A36CC52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203B0B7A" w14:textId="734913DE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appropriately responds to the essential questions.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7BCECF49" w14:textId="550A5DED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uses language and vocabulary that adheres to the standards one or more grade levels beyond their current level.</w:t>
            </w:r>
          </w:p>
          <w:p w14:paraId="47F30B12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580DF88F" w14:textId="26371969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uses the cultural characteristic descriptor words in the Venn </w:t>
            </w:r>
            <w:r w:rsidR="00B81970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iagram</w:t>
            </w:r>
            <w:r w:rsidRPr="0018442F">
              <w:rPr>
                <w:sz w:val="16"/>
                <w:szCs w:val="16"/>
              </w:rPr>
              <w:t xml:space="preserve"> and </w:t>
            </w:r>
            <w:r w:rsidR="00B81970">
              <w:rPr>
                <w:sz w:val="16"/>
                <w:szCs w:val="16"/>
              </w:rPr>
              <w:t>response to the essential questions</w:t>
            </w:r>
            <w:r w:rsidRPr="0018442F">
              <w:rPr>
                <w:sz w:val="16"/>
                <w:szCs w:val="16"/>
              </w:rPr>
              <w:t>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4298E4FC" w14:textId="6ECA3748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N/A</w:t>
            </w:r>
          </w:p>
        </w:tc>
      </w:tr>
      <w:tr w:rsidR="0018442F" w14:paraId="19E1ADF4" w14:textId="7E9582B1" w:rsidTr="003B6158">
        <w:tc>
          <w:tcPr>
            <w:tcW w:w="735" w:type="dxa"/>
            <w:tcMar>
              <w:top w:w="58" w:type="dxa"/>
              <w:bottom w:w="58" w:type="dxa"/>
            </w:tcMar>
          </w:tcPr>
          <w:p w14:paraId="29E12D82" w14:textId="04504E92" w:rsidR="0018442F" w:rsidRPr="00BE5B36" w:rsidRDefault="0018442F" w:rsidP="0018442F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3</w:t>
            </w:r>
          </w:p>
        </w:tc>
        <w:tc>
          <w:tcPr>
            <w:tcW w:w="2595" w:type="dxa"/>
            <w:tcMar>
              <w:top w:w="58" w:type="dxa"/>
              <w:bottom w:w="58" w:type="dxa"/>
            </w:tcMar>
          </w:tcPr>
          <w:p w14:paraId="3E9B8C0C" w14:textId="563246E8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keeps the focus on the cultural characteristics present in the stories and how they are similar and different.</w:t>
            </w:r>
          </w:p>
        </w:tc>
        <w:tc>
          <w:tcPr>
            <w:tcW w:w="2160" w:type="dxa"/>
            <w:tcMar>
              <w:top w:w="58" w:type="dxa"/>
              <w:bottom w:w="58" w:type="dxa"/>
            </w:tcMar>
          </w:tcPr>
          <w:p w14:paraId="70588E8F" w14:textId="193ED805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</w:t>
            </w:r>
            <w:r>
              <w:rPr>
                <w:sz w:val="16"/>
                <w:szCs w:val="16"/>
              </w:rPr>
              <w:t>organizes</w:t>
            </w:r>
            <w:r w:rsidRPr="0018442F">
              <w:rPr>
                <w:sz w:val="16"/>
                <w:szCs w:val="16"/>
              </w:rPr>
              <w:t xml:space="preserve"> information properly within the Venn </w:t>
            </w:r>
            <w:r>
              <w:rPr>
                <w:sz w:val="16"/>
                <w:szCs w:val="16"/>
              </w:rPr>
              <w:t>diagram</w:t>
            </w:r>
            <w:r w:rsidRPr="0018442F">
              <w:rPr>
                <w:sz w:val="16"/>
                <w:szCs w:val="16"/>
              </w:rPr>
              <w:t xml:space="preserve">. For example, </w:t>
            </w:r>
            <w:r>
              <w:rPr>
                <w:sz w:val="16"/>
                <w:szCs w:val="16"/>
              </w:rPr>
              <w:t>when</w:t>
            </w:r>
            <w:r w:rsidRPr="0018442F">
              <w:rPr>
                <w:sz w:val="16"/>
                <w:szCs w:val="16"/>
              </w:rPr>
              <w:t xml:space="preserve"> comparing </w:t>
            </w:r>
            <w:proofErr w:type="gramStart"/>
            <w:r w:rsidRPr="0018442F">
              <w:rPr>
                <w:sz w:val="16"/>
                <w:szCs w:val="16"/>
              </w:rPr>
              <w:t>story</w:t>
            </w:r>
            <w:proofErr w:type="gramEnd"/>
            <w:r w:rsidRPr="00184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18442F">
              <w:rPr>
                <w:sz w:val="16"/>
                <w:szCs w:val="16"/>
              </w:rPr>
              <w:t xml:space="preserve"> with story </w:t>
            </w:r>
            <w:r>
              <w:rPr>
                <w:sz w:val="16"/>
                <w:szCs w:val="16"/>
              </w:rPr>
              <w:t>B</w:t>
            </w:r>
            <w:r w:rsidRPr="0018442F">
              <w:rPr>
                <w:sz w:val="16"/>
                <w:szCs w:val="16"/>
              </w:rPr>
              <w:t xml:space="preserve">, those similarities are written only in the portion of the </w:t>
            </w:r>
            <w:r>
              <w:rPr>
                <w:sz w:val="16"/>
                <w:szCs w:val="16"/>
              </w:rPr>
              <w:t>diagram where A and B overlap</w:t>
            </w:r>
            <w:r w:rsidRPr="0018442F">
              <w:rPr>
                <w:sz w:val="16"/>
                <w:szCs w:val="16"/>
              </w:rPr>
              <w:t>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022D6CFC" w14:textId="4E00F1F0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provides 2 or more ways in which each story is unique, 2 or more ways in which each pair of stories is similar, and 1 or more ways</w:t>
            </w:r>
            <w:r w:rsidR="00B81970">
              <w:rPr>
                <w:sz w:val="16"/>
                <w:szCs w:val="16"/>
              </w:rPr>
              <w:t xml:space="preserve"> that</w:t>
            </w:r>
            <w:r w:rsidRPr="0018442F">
              <w:rPr>
                <w:sz w:val="16"/>
                <w:szCs w:val="16"/>
              </w:rPr>
              <w:t xml:space="preserve"> all three stories are similar.</w:t>
            </w:r>
          </w:p>
          <w:p w14:paraId="23BAAD41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1061FADD" w14:textId="4B9568D0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appropriately responds to the essential questions.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401FC367" w14:textId="77777777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uses grade-level appropriate language and vocabulary.</w:t>
            </w:r>
          </w:p>
          <w:p w14:paraId="1D98159F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07DC9E32" w14:textId="211DDE8E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uses the cultural characteristic descriptor words in the Venn </w:t>
            </w:r>
            <w:r w:rsidR="00B81970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iagram</w:t>
            </w:r>
            <w:r w:rsidRPr="0018442F">
              <w:rPr>
                <w:sz w:val="16"/>
                <w:szCs w:val="16"/>
              </w:rPr>
              <w:t xml:space="preserve"> and </w:t>
            </w:r>
            <w:r w:rsidR="00D2245E">
              <w:rPr>
                <w:sz w:val="16"/>
                <w:szCs w:val="16"/>
              </w:rPr>
              <w:t>response to the essential questions</w:t>
            </w:r>
            <w:r w:rsidRPr="0018442F">
              <w:rPr>
                <w:sz w:val="16"/>
                <w:szCs w:val="16"/>
              </w:rPr>
              <w:t>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1D6AF02C" w14:textId="03BED579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bullet</w:t>
            </w:r>
            <w:r>
              <w:rPr>
                <w:sz w:val="16"/>
                <w:szCs w:val="16"/>
              </w:rPr>
              <w:t>s</w:t>
            </w:r>
            <w:r w:rsidRPr="0018442F">
              <w:rPr>
                <w:sz w:val="16"/>
                <w:szCs w:val="16"/>
              </w:rPr>
              <w:t xml:space="preserve"> the information in the Venn </w:t>
            </w:r>
            <w:r>
              <w:rPr>
                <w:sz w:val="16"/>
                <w:szCs w:val="16"/>
              </w:rPr>
              <w:t>diagram</w:t>
            </w:r>
            <w:r w:rsidRPr="0018442F">
              <w:rPr>
                <w:sz w:val="16"/>
                <w:szCs w:val="16"/>
              </w:rPr>
              <w:t xml:space="preserve"> appropriately.</w:t>
            </w:r>
          </w:p>
          <w:p w14:paraId="2A8C9C0E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48C3B6C3" w14:textId="2CF3FEE5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uses appropriate conventions and complete sentences in response</w:t>
            </w:r>
            <w:r>
              <w:rPr>
                <w:sz w:val="16"/>
                <w:szCs w:val="16"/>
              </w:rPr>
              <w:t>s</w:t>
            </w:r>
            <w:r w:rsidRPr="0018442F">
              <w:rPr>
                <w:sz w:val="16"/>
                <w:szCs w:val="16"/>
              </w:rPr>
              <w:t xml:space="preserve"> to the essential questions.</w:t>
            </w:r>
          </w:p>
        </w:tc>
      </w:tr>
      <w:tr w:rsidR="0018442F" w14:paraId="741DA11D" w14:textId="77777777" w:rsidTr="003B6158">
        <w:tc>
          <w:tcPr>
            <w:tcW w:w="735" w:type="dxa"/>
            <w:tcMar>
              <w:top w:w="58" w:type="dxa"/>
              <w:bottom w:w="58" w:type="dxa"/>
            </w:tcMar>
          </w:tcPr>
          <w:p w14:paraId="6CBFB5AF" w14:textId="2FBAD01F" w:rsidR="0018442F" w:rsidRPr="00BE5B36" w:rsidRDefault="0018442F" w:rsidP="0018442F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2</w:t>
            </w:r>
          </w:p>
        </w:tc>
        <w:tc>
          <w:tcPr>
            <w:tcW w:w="2595" w:type="dxa"/>
            <w:tcMar>
              <w:top w:w="58" w:type="dxa"/>
              <w:bottom w:w="58" w:type="dxa"/>
            </w:tcMar>
          </w:tcPr>
          <w:p w14:paraId="11A9E726" w14:textId="00D59F0F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keeps most of the focus on the cultural characteristics present in the stories and how they are similar and different</w:t>
            </w:r>
            <w:r w:rsidR="00B81970">
              <w:rPr>
                <w:sz w:val="16"/>
                <w:szCs w:val="16"/>
              </w:rPr>
              <w:t xml:space="preserve">, but also mentions </w:t>
            </w:r>
            <w:r w:rsidRPr="0018442F">
              <w:rPr>
                <w:sz w:val="16"/>
                <w:szCs w:val="16"/>
              </w:rPr>
              <w:t xml:space="preserve">other aspects of the stories without linking </w:t>
            </w:r>
            <w:r w:rsidR="00B81970">
              <w:rPr>
                <w:sz w:val="16"/>
                <w:szCs w:val="16"/>
              </w:rPr>
              <w:t xml:space="preserve">them to </w:t>
            </w:r>
            <w:r w:rsidRPr="0018442F">
              <w:rPr>
                <w:sz w:val="16"/>
                <w:szCs w:val="16"/>
              </w:rPr>
              <w:t>the cultural characteristics in any way.</w:t>
            </w:r>
          </w:p>
        </w:tc>
        <w:tc>
          <w:tcPr>
            <w:tcW w:w="2160" w:type="dxa"/>
            <w:tcMar>
              <w:top w:w="58" w:type="dxa"/>
              <w:bottom w:w="58" w:type="dxa"/>
            </w:tcMar>
          </w:tcPr>
          <w:p w14:paraId="3E1557EC" w14:textId="009DC3CA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</w:t>
            </w:r>
            <w:r>
              <w:rPr>
                <w:sz w:val="16"/>
                <w:szCs w:val="16"/>
              </w:rPr>
              <w:t>organizes</w:t>
            </w:r>
            <w:r w:rsidRPr="0018442F">
              <w:rPr>
                <w:sz w:val="16"/>
                <w:szCs w:val="16"/>
              </w:rPr>
              <w:t xml:space="preserve"> most of the information properly within the Venn </w:t>
            </w:r>
            <w:r>
              <w:rPr>
                <w:sz w:val="16"/>
                <w:szCs w:val="16"/>
              </w:rPr>
              <w:t>diagram</w:t>
            </w:r>
            <w:r w:rsidRPr="0018442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56864207" w14:textId="77777777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provides 2 or more ways in which each story is unique, 2 or more ways in which each pair of stories is similar, and 1 or more ways all three stories are similar.</w:t>
            </w:r>
          </w:p>
          <w:p w14:paraId="779FFB81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-OR-</w:t>
            </w:r>
          </w:p>
          <w:p w14:paraId="53DADEA3" w14:textId="4F807275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appropriately responds to the essential questions.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464896EA" w14:textId="77777777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uses grade-level appropriate language and vocabulary.</w:t>
            </w:r>
          </w:p>
          <w:p w14:paraId="69D27848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-OR-</w:t>
            </w:r>
          </w:p>
          <w:p w14:paraId="0E9BEE42" w14:textId="5D52BE4A" w:rsidR="0018442F" w:rsidRPr="0018442F" w:rsidRDefault="00D2245E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uses the cultural characteristic descriptor words in the Venn </w:t>
            </w:r>
            <w:r>
              <w:rPr>
                <w:sz w:val="16"/>
                <w:szCs w:val="16"/>
              </w:rPr>
              <w:t>diagram</w:t>
            </w:r>
            <w:r w:rsidRPr="0018442F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response to the essential questions</w:t>
            </w:r>
            <w:r w:rsidRPr="0018442F">
              <w:rPr>
                <w:sz w:val="16"/>
                <w:szCs w:val="16"/>
              </w:rPr>
              <w:t>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0776599D" w14:textId="164D4EED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bullet</w:t>
            </w:r>
            <w:r>
              <w:rPr>
                <w:sz w:val="16"/>
                <w:szCs w:val="16"/>
              </w:rPr>
              <w:t>s</w:t>
            </w:r>
            <w:r w:rsidRPr="0018442F">
              <w:rPr>
                <w:sz w:val="16"/>
                <w:szCs w:val="16"/>
              </w:rPr>
              <w:t xml:space="preserve"> the information in the Venn </w:t>
            </w:r>
            <w:r>
              <w:rPr>
                <w:sz w:val="16"/>
                <w:szCs w:val="16"/>
              </w:rPr>
              <w:t>diagram</w:t>
            </w:r>
            <w:r w:rsidRPr="0018442F">
              <w:rPr>
                <w:sz w:val="16"/>
                <w:szCs w:val="16"/>
              </w:rPr>
              <w:t xml:space="preserve"> appropriately.</w:t>
            </w:r>
          </w:p>
          <w:p w14:paraId="62588505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-OR-</w:t>
            </w:r>
          </w:p>
          <w:p w14:paraId="0F1001B1" w14:textId="365C95BD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uses appropriate conventions and complete sentences in the response</w:t>
            </w:r>
            <w:r w:rsidR="00640E42">
              <w:rPr>
                <w:sz w:val="16"/>
                <w:szCs w:val="16"/>
              </w:rPr>
              <w:t>s</w:t>
            </w:r>
            <w:r w:rsidRPr="0018442F">
              <w:rPr>
                <w:sz w:val="16"/>
                <w:szCs w:val="16"/>
              </w:rPr>
              <w:t xml:space="preserve"> to the essential questions.</w:t>
            </w:r>
          </w:p>
        </w:tc>
      </w:tr>
      <w:tr w:rsidR="0018442F" w14:paraId="36814909" w14:textId="77777777" w:rsidTr="003B6158">
        <w:tc>
          <w:tcPr>
            <w:tcW w:w="735" w:type="dxa"/>
            <w:tcMar>
              <w:top w:w="58" w:type="dxa"/>
              <w:bottom w:w="58" w:type="dxa"/>
            </w:tcMar>
          </w:tcPr>
          <w:p w14:paraId="12215FAE" w14:textId="18DBB318" w:rsidR="0018442F" w:rsidRPr="00BE5B36" w:rsidRDefault="0018442F" w:rsidP="0018442F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1</w:t>
            </w:r>
          </w:p>
        </w:tc>
        <w:tc>
          <w:tcPr>
            <w:tcW w:w="2595" w:type="dxa"/>
            <w:tcMar>
              <w:top w:w="58" w:type="dxa"/>
              <w:bottom w:w="58" w:type="dxa"/>
            </w:tcMar>
          </w:tcPr>
          <w:p w14:paraId="25605574" w14:textId="065B595C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</w:t>
            </w:r>
            <w:r w:rsidR="00B81970">
              <w:rPr>
                <w:sz w:val="16"/>
                <w:szCs w:val="16"/>
              </w:rPr>
              <w:t>lacks fo</w:t>
            </w:r>
            <w:r w:rsidRPr="0018442F">
              <w:rPr>
                <w:sz w:val="16"/>
                <w:szCs w:val="16"/>
              </w:rPr>
              <w:t>cus on the cultural characteristics present in the stories and how they are similar and different.</w:t>
            </w:r>
          </w:p>
        </w:tc>
        <w:tc>
          <w:tcPr>
            <w:tcW w:w="2160" w:type="dxa"/>
            <w:tcMar>
              <w:top w:w="58" w:type="dxa"/>
              <w:bottom w:w="58" w:type="dxa"/>
            </w:tcMar>
          </w:tcPr>
          <w:p w14:paraId="7BBB024D" w14:textId="5BA7EC03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</w:t>
            </w:r>
            <w:r w:rsidR="00B81970">
              <w:rPr>
                <w:sz w:val="16"/>
                <w:szCs w:val="16"/>
              </w:rPr>
              <w:t xml:space="preserve">does not organize </w:t>
            </w:r>
            <w:r w:rsidRPr="0018442F">
              <w:rPr>
                <w:sz w:val="16"/>
                <w:szCs w:val="16"/>
              </w:rPr>
              <w:t xml:space="preserve">information properly within the Venn </w:t>
            </w:r>
            <w:r w:rsidR="00B81970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iagram</w:t>
            </w:r>
            <w:r w:rsidRPr="0018442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1086C71F" w14:textId="73F2B2B6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DOES NOT meet the requirements for a 3 on the Venn </w:t>
            </w:r>
            <w:r>
              <w:rPr>
                <w:sz w:val="16"/>
                <w:szCs w:val="16"/>
              </w:rPr>
              <w:t>Diagram</w:t>
            </w:r>
            <w:r w:rsidRPr="0018442F">
              <w:rPr>
                <w:sz w:val="16"/>
                <w:szCs w:val="16"/>
              </w:rPr>
              <w:t>.</w:t>
            </w:r>
          </w:p>
          <w:p w14:paraId="1D91A251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505448E5" w14:textId="770CBDC9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DOES NOT appropriately respond to the essential questions.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440E2297" w14:textId="142CE2EB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does not use grade-level appropriate language </w:t>
            </w:r>
            <w:r w:rsidR="00D2245E">
              <w:rPr>
                <w:sz w:val="16"/>
                <w:szCs w:val="16"/>
              </w:rPr>
              <w:t>or</w:t>
            </w:r>
            <w:r w:rsidRPr="0018442F">
              <w:rPr>
                <w:sz w:val="16"/>
                <w:szCs w:val="16"/>
              </w:rPr>
              <w:t xml:space="preserve"> vocabulary.</w:t>
            </w:r>
          </w:p>
          <w:p w14:paraId="6D51CABA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4C7D5C05" w14:textId="481EEB3B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does not use the cultural characteristic descriptor words in </w:t>
            </w:r>
            <w:r w:rsidR="00D2245E" w:rsidRPr="0018442F">
              <w:rPr>
                <w:sz w:val="16"/>
                <w:szCs w:val="16"/>
              </w:rPr>
              <w:t xml:space="preserve">the Venn </w:t>
            </w:r>
            <w:r w:rsidR="00D2245E">
              <w:rPr>
                <w:sz w:val="16"/>
                <w:szCs w:val="16"/>
              </w:rPr>
              <w:t>diagram</w:t>
            </w:r>
            <w:r w:rsidR="00D2245E" w:rsidRPr="0018442F">
              <w:rPr>
                <w:sz w:val="16"/>
                <w:szCs w:val="16"/>
              </w:rPr>
              <w:t xml:space="preserve"> and </w:t>
            </w:r>
            <w:r w:rsidR="00D2245E">
              <w:rPr>
                <w:sz w:val="16"/>
                <w:szCs w:val="16"/>
              </w:rPr>
              <w:t>response to the essential questions</w:t>
            </w:r>
            <w:r w:rsidR="00D2245E" w:rsidRPr="0018442F">
              <w:rPr>
                <w:sz w:val="16"/>
                <w:szCs w:val="16"/>
              </w:rPr>
              <w:t>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5704A80E" w14:textId="28685F2C" w:rsidR="0018442F" w:rsidRPr="0018442F" w:rsidRDefault="0018442F" w:rsidP="0018442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 xml:space="preserve">The student </w:t>
            </w:r>
            <w:r w:rsidR="00D2245E">
              <w:rPr>
                <w:sz w:val="16"/>
                <w:szCs w:val="16"/>
              </w:rPr>
              <w:t xml:space="preserve">does not appropriately </w:t>
            </w:r>
            <w:r w:rsidRPr="0018442F">
              <w:rPr>
                <w:sz w:val="16"/>
                <w:szCs w:val="16"/>
              </w:rPr>
              <w:t xml:space="preserve">bullet the information in the Venn </w:t>
            </w:r>
            <w:r w:rsidR="00D2245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iagram</w:t>
            </w:r>
            <w:r w:rsidRPr="0018442F">
              <w:rPr>
                <w:sz w:val="16"/>
                <w:szCs w:val="16"/>
              </w:rPr>
              <w:t>.</w:t>
            </w:r>
          </w:p>
          <w:p w14:paraId="68AFF7C7" w14:textId="77777777" w:rsidR="0018442F" w:rsidRPr="0018442F" w:rsidRDefault="0018442F" w:rsidP="0018442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-AND-</w:t>
            </w:r>
          </w:p>
          <w:p w14:paraId="00401C10" w14:textId="18E94CE7" w:rsidR="0018442F" w:rsidRPr="0018442F" w:rsidRDefault="0018442F" w:rsidP="0018442F">
            <w:pPr>
              <w:pStyle w:val="TableBody"/>
              <w:rPr>
                <w:sz w:val="16"/>
                <w:szCs w:val="16"/>
              </w:rPr>
            </w:pPr>
            <w:r w:rsidRPr="0018442F">
              <w:rPr>
                <w:sz w:val="16"/>
                <w:szCs w:val="16"/>
              </w:rPr>
              <w:t>The student does not use appropriate conventions and complete sentences in the response</w:t>
            </w:r>
            <w:r w:rsidR="00640E42">
              <w:rPr>
                <w:sz w:val="16"/>
                <w:szCs w:val="16"/>
              </w:rPr>
              <w:t>s</w:t>
            </w:r>
            <w:r w:rsidRPr="0018442F">
              <w:rPr>
                <w:sz w:val="16"/>
                <w:szCs w:val="16"/>
              </w:rPr>
              <w:t xml:space="preserve"> to the essential questions.</w:t>
            </w:r>
          </w:p>
        </w:tc>
      </w:tr>
      <w:tr w:rsidR="00F14FF2" w14:paraId="0346EFE9" w14:textId="77777777" w:rsidTr="003B6158">
        <w:trPr>
          <w:trHeight w:val="273"/>
        </w:trPr>
        <w:tc>
          <w:tcPr>
            <w:tcW w:w="735" w:type="dxa"/>
            <w:tcMar>
              <w:top w:w="58" w:type="dxa"/>
              <w:bottom w:w="58" w:type="dxa"/>
            </w:tcMar>
          </w:tcPr>
          <w:p w14:paraId="674F5A4C" w14:textId="77777777" w:rsidR="00F14FF2" w:rsidRPr="00BE5B36" w:rsidRDefault="00F14FF2" w:rsidP="00BE5B36">
            <w:pPr>
              <w:pStyle w:val="RowHeader"/>
              <w:jc w:val="center"/>
              <w:rPr>
                <w:sz w:val="22"/>
              </w:rPr>
            </w:pPr>
          </w:p>
        </w:tc>
        <w:tc>
          <w:tcPr>
            <w:tcW w:w="2595" w:type="dxa"/>
            <w:tcMar>
              <w:top w:w="58" w:type="dxa"/>
              <w:bottom w:w="58" w:type="dxa"/>
            </w:tcMar>
          </w:tcPr>
          <w:p w14:paraId="6A480A59" w14:textId="14558976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</w:t>
            </w:r>
            <w:r w:rsidR="00D2245E">
              <w:rPr>
                <w:b/>
                <w:bCs/>
                <w:sz w:val="22"/>
              </w:rPr>
              <w:t>3</w:t>
            </w:r>
          </w:p>
        </w:tc>
        <w:tc>
          <w:tcPr>
            <w:tcW w:w="2160" w:type="dxa"/>
            <w:tcMar>
              <w:top w:w="58" w:type="dxa"/>
              <w:bottom w:w="58" w:type="dxa"/>
            </w:tcMar>
          </w:tcPr>
          <w:p w14:paraId="68C1E906" w14:textId="597DD88B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72156C36" w14:textId="4B92D5DA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3AE53613" w14:textId="5128002C" w:rsidR="00F14FF2" w:rsidRPr="00F14FF2" w:rsidRDefault="00F14FF2" w:rsidP="00F14FF2">
            <w:pPr>
              <w:widowControl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06584475" w14:textId="4EC04CD3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</w:t>
            </w:r>
            <w:r w:rsidR="00D2245E">
              <w:rPr>
                <w:b/>
                <w:bCs/>
                <w:sz w:val="22"/>
              </w:rPr>
              <w:t>3</w:t>
            </w:r>
          </w:p>
        </w:tc>
      </w:tr>
    </w:tbl>
    <w:p w14:paraId="01DB2FED" w14:textId="6C2F744D" w:rsidR="00895E9E" w:rsidRPr="003B6158" w:rsidRDefault="00F14FF2" w:rsidP="00895E9E">
      <w:pPr>
        <w:pStyle w:val="BodyText"/>
      </w:pPr>
      <w:r w:rsidRPr="00933CDA">
        <w:rPr>
          <w:rStyle w:val="Heading1Char"/>
        </w:rPr>
        <w:t xml:space="preserve">Total Score: </w:t>
      </w:r>
      <w:r>
        <w:t xml:space="preserve"> </w:t>
      </w:r>
      <w:r w:rsidR="00933CDA" w:rsidRPr="00933CDA">
        <w:rPr>
          <w:b/>
          <w:bCs/>
        </w:rPr>
        <w:t xml:space="preserve"> </w:t>
      </w:r>
      <w:r w:rsidRPr="00933CDA">
        <w:rPr>
          <w:b/>
          <w:bCs/>
        </w:rPr>
        <w:t>/</w:t>
      </w:r>
      <w:r w:rsidR="00D2245E">
        <w:rPr>
          <w:b/>
          <w:bCs/>
        </w:rPr>
        <w:t>18</w:t>
      </w:r>
    </w:p>
    <w:tbl>
      <w:tblPr>
        <w:tblStyle w:val="TableGrid"/>
        <w:tblW w:w="13500" w:type="dxa"/>
        <w:tblInd w:w="-3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2793"/>
        <w:gridCol w:w="2560"/>
        <w:gridCol w:w="4549"/>
      </w:tblGrid>
      <w:tr w:rsidR="00933CDA" w:rsidRPr="00793991" w14:paraId="48A31DC4" w14:textId="77777777" w:rsidTr="003B6158">
        <w:trPr>
          <w:tblHeader/>
        </w:trPr>
        <w:tc>
          <w:tcPr>
            <w:tcW w:w="3598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721485D7" w14:textId="77142064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Below Basic</w:t>
            </w:r>
          </w:p>
        </w:tc>
        <w:tc>
          <w:tcPr>
            <w:tcW w:w="2793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185F6C63" w14:textId="73222A82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Basic</w:t>
            </w:r>
          </w:p>
        </w:tc>
        <w:tc>
          <w:tcPr>
            <w:tcW w:w="256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1FCDDF5E" w14:textId="3EF5F61E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Proficient</w:t>
            </w:r>
          </w:p>
        </w:tc>
        <w:tc>
          <w:tcPr>
            <w:tcW w:w="4549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37FEE4FA" w14:textId="7A702266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Advanced</w:t>
            </w:r>
          </w:p>
        </w:tc>
      </w:tr>
      <w:tr w:rsidR="00933CDA" w:rsidRPr="00793991" w14:paraId="3A6EF612" w14:textId="77777777" w:rsidTr="003B6158">
        <w:tc>
          <w:tcPr>
            <w:tcW w:w="3598" w:type="dxa"/>
            <w:tcMar>
              <w:top w:w="58" w:type="dxa"/>
              <w:bottom w:w="58" w:type="dxa"/>
            </w:tcMar>
          </w:tcPr>
          <w:p w14:paraId="34B9C4F7" w14:textId="7E2D61CE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5-7</w:t>
            </w:r>
          </w:p>
        </w:tc>
        <w:tc>
          <w:tcPr>
            <w:tcW w:w="2793" w:type="dxa"/>
            <w:tcMar>
              <w:top w:w="58" w:type="dxa"/>
              <w:bottom w:w="58" w:type="dxa"/>
            </w:tcMar>
          </w:tcPr>
          <w:p w14:paraId="55C60CA0" w14:textId="2ED99902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8-1</w:t>
            </w:r>
            <w:r w:rsidR="00D2245E">
              <w:rPr>
                <w:sz w:val="22"/>
              </w:rPr>
              <w:t>0</w:t>
            </w:r>
          </w:p>
        </w:tc>
        <w:tc>
          <w:tcPr>
            <w:tcW w:w="2560" w:type="dxa"/>
            <w:tcMar>
              <w:top w:w="58" w:type="dxa"/>
              <w:bottom w:w="58" w:type="dxa"/>
            </w:tcMar>
          </w:tcPr>
          <w:p w14:paraId="29DF2840" w14:textId="293A755C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1</w:t>
            </w:r>
            <w:r w:rsidR="00D2245E">
              <w:rPr>
                <w:sz w:val="22"/>
              </w:rPr>
              <w:t>1</w:t>
            </w:r>
            <w:r w:rsidRPr="00933CDA">
              <w:rPr>
                <w:sz w:val="22"/>
              </w:rPr>
              <w:t>-1</w:t>
            </w:r>
            <w:r w:rsidR="00D2245E">
              <w:rPr>
                <w:sz w:val="22"/>
              </w:rPr>
              <w:t>5</w:t>
            </w:r>
          </w:p>
        </w:tc>
        <w:tc>
          <w:tcPr>
            <w:tcW w:w="4549" w:type="dxa"/>
            <w:tcMar>
              <w:top w:w="58" w:type="dxa"/>
              <w:bottom w:w="58" w:type="dxa"/>
            </w:tcMar>
          </w:tcPr>
          <w:p w14:paraId="7117D5B8" w14:textId="57720F7E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1</w:t>
            </w:r>
            <w:r w:rsidR="00D2245E">
              <w:rPr>
                <w:sz w:val="22"/>
              </w:rPr>
              <w:t>6</w:t>
            </w:r>
            <w:r w:rsidRPr="00933CDA">
              <w:rPr>
                <w:sz w:val="22"/>
              </w:rPr>
              <w:t>-</w:t>
            </w:r>
            <w:r w:rsidR="00D2245E">
              <w:rPr>
                <w:sz w:val="22"/>
              </w:rPr>
              <w:t>18</w:t>
            </w:r>
          </w:p>
        </w:tc>
      </w:tr>
    </w:tbl>
    <w:p w14:paraId="4641C266" w14:textId="77777777" w:rsidR="00F14FF2" w:rsidRPr="00895E9E" w:rsidRDefault="00F14FF2" w:rsidP="00895E9E">
      <w:pPr>
        <w:pStyle w:val="BodyText"/>
      </w:pPr>
    </w:p>
    <w:sectPr w:rsidR="00F14FF2" w:rsidRPr="00895E9E" w:rsidSect="003B6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4" w:right="1440" w:bottom="99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F1B0" w14:textId="77777777" w:rsidR="00AB244B" w:rsidRDefault="00AB244B" w:rsidP="00293785">
      <w:pPr>
        <w:spacing w:after="0" w:line="240" w:lineRule="auto"/>
      </w:pPr>
      <w:r>
        <w:separator/>
      </w:r>
    </w:p>
  </w:endnote>
  <w:endnote w:type="continuationSeparator" w:id="0">
    <w:p w14:paraId="05DDDEC1" w14:textId="77777777" w:rsidR="00AB244B" w:rsidRDefault="00AB244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DAFB" w14:textId="77777777" w:rsidR="00640E42" w:rsidRDefault="00640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55E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CB606A" wp14:editId="723E653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59446" w14:textId="6D82051E" w:rsidR="00293785" w:rsidRDefault="00AB244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9B71F23C94948EA89088EA61182087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8442F">
                                <w:t>Grandmother, What a Big Culture You Have!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1CB60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CF59446" w14:textId="6D82051E" w:rsidR="00293785" w:rsidRDefault="0056080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9B71F23C94948EA89088EA61182087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8442F">
                          <w:t>Grandmother, What a Big Culture You Have!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BD3330" wp14:editId="1B61AB4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E072" w14:textId="77777777" w:rsidR="00640E42" w:rsidRDefault="00640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8310" w14:textId="77777777" w:rsidR="00AB244B" w:rsidRDefault="00AB244B" w:rsidP="00293785">
      <w:pPr>
        <w:spacing w:after="0" w:line="240" w:lineRule="auto"/>
      </w:pPr>
      <w:r>
        <w:separator/>
      </w:r>
    </w:p>
  </w:footnote>
  <w:footnote w:type="continuationSeparator" w:id="0">
    <w:p w14:paraId="1761DFCD" w14:textId="77777777" w:rsidR="00AB244B" w:rsidRDefault="00AB244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96AC" w14:textId="77777777" w:rsidR="00640E42" w:rsidRDefault="00640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1C63" w14:textId="77777777" w:rsidR="00640E42" w:rsidRDefault="00640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6DB8" w14:textId="77777777" w:rsidR="00640E42" w:rsidRDefault="0064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1"/>
    <w:rsid w:val="0004006F"/>
    <w:rsid w:val="00053775"/>
    <w:rsid w:val="0005619A"/>
    <w:rsid w:val="000716BE"/>
    <w:rsid w:val="0011259B"/>
    <w:rsid w:val="00116FDD"/>
    <w:rsid w:val="00125621"/>
    <w:rsid w:val="00134AD7"/>
    <w:rsid w:val="0018442F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B6158"/>
    <w:rsid w:val="00446C13"/>
    <w:rsid w:val="005078B4"/>
    <w:rsid w:val="0053328A"/>
    <w:rsid w:val="00540FC6"/>
    <w:rsid w:val="0056080C"/>
    <w:rsid w:val="00640E42"/>
    <w:rsid w:val="00645D7F"/>
    <w:rsid w:val="0064761A"/>
    <w:rsid w:val="00656940"/>
    <w:rsid w:val="00666C03"/>
    <w:rsid w:val="00686DAB"/>
    <w:rsid w:val="00696D80"/>
    <w:rsid w:val="006E1542"/>
    <w:rsid w:val="00721EA4"/>
    <w:rsid w:val="00793991"/>
    <w:rsid w:val="007B055F"/>
    <w:rsid w:val="007D4DF2"/>
    <w:rsid w:val="00880013"/>
    <w:rsid w:val="00895E9E"/>
    <w:rsid w:val="008E4D00"/>
    <w:rsid w:val="008F5386"/>
    <w:rsid w:val="00913172"/>
    <w:rsid w:val="00933CDA"/>
    <w:rsid w:val="00981E19"/>
    <w:rsid w:val="009B52E4"/>
    <w:rsid w:val="009D6E8D"/>
    <w:rsid w:val="00A101E8"/>
    <w:rsid w:val="00A471FD"/>
    <w:rsid w:val="00AB244B"/>
    <w:rsid w:val="00AC349E"/>
    <w:rsid w:val="00AC75FD"/>
    <w:rsid w:val="00B81970"/>
    <w:rsid w:val="00B92DBF"/>
    <w:rsid w:val="00BD119F"/>
    <w:rsid w:val="00BE5B36"/>
    <w:rsid w:val="00C73EA1"/>
    <w:rsid w:val="00CB27A0"/>
    <w:rsid w:val="00CC4F77"/>
    <w:rsid w:val="00CD3CF6"/>
    <w:rsid w:val="00CE317F"/>
    <w:rsid w:val="00CE336D"/>
    <w:rsid w:val="00D106FF"/>
    <w:rsid w:val="00D2245E"/>
    <w:rsid w:val="00D626EB"/>
    <w:rsid w:val="00DE6290"/>
    <w:rsid w:val="00ED24C8"/>
    <w:rsid w:val="00EE3A34"/>
    <w:rsid w:val="00F14FF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9CF7C"/>
  <w15:docId w15:val="{6EAC642E-EC8F-432A-AA3A-B274133A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B71F23C94948EA89088EA61182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30D4-CC41-44ED-8344-DEDA0B4F45CC}"/>
      </w:docPartPr>
      <w:docPartBody>
        <w:p w:rsidR="00E353EA" w:rsidRDefault="00185E9D">
          <w:pPr>
            <w:pStyle w:val="59B71F23C94948EA89088EA61182087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9D"/>
    <w:rsid w:val="00185E9D"/>
    <w:rsid w:val="002428D5"/>
    <w:rsid w:val="00B41F02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B71F23C94948EA89088EA611820874">
    <w:name w:val="59B71F23C94948EA89088EA611820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0A7A6D-2589-CE41-BB05-B0DA186F7E9C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51AC-91E9-0A42-9C46-3D622598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10</TotalTime>
  <Pages>1</Pages>
  <Words>335</Words>
  <Characters>3260</Characters>
  <Application>Microsoft Office Word</Application>
  <DocSecurity>0</DocSecurity>
  <Lines>191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Greek to Me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Grandmother, What a Big Culture You Have!</dc:title>
  <dc:creator>K20 Center</dc:creator>
  <cp:lastModifiedBy>Walters, Darrin J.</cp:lastModifiedBy>
  <cp:revision>4</cp:revision>
  <cp:lastPrinted>2016-07-14T14:08:00Z</cp:lastPrinted>
  <dcterms:created xsi:type="dcterms:W3CDTF">2020-04-29T15:57:00Z</dcterms:created>
  <dcterms:modified xsi:type="dcterms:W3CDTF">2020-05-05T20:35:00Z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documentId_8790</vt:lpwstr>
  </property>
</Properties>
</file>