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20F87D" w14:textId="169F3F8A" w:rsidR="00DC1CA0" w:rsidRPr="00304DC6" w:rsidRDefault="002F757F" w:rsidP="00DA305A">
      <w:pPr>
        <w:pStyle w:val="Title"/>
      </w:pPr>
      <w:r>
        <w:t>progressive influence on oklahoma’s constitution</w:t>
      </w:r>
    </w:p>
    <w:tbl>
      <w:tblPr>
        <w:tblW w:w="0" w:type="auto"/>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5" w:type="dxa"/>
          <w:left w:w="15" w:type="dxa"/>
          <w:bottom w:w="15" w:type="dxa"/>
          <w:right w:w="15" w:type="dxa"/>
        </w:tblCellMar>
        <w:tblLook w:val="0620" w:firstRow="1" w:lastRow="0" w:firstColumn="0" w:lastColumn="0" w:noHBand="1" w:noVBand="1"/>
      </w:tblPr>
      <w:tblGrid>
        <w:gridCol w:w="5400"/>
        <w:gridCol w:w="5400"/>
      </w:tblGrid>
      <w:tr w:rsidR="002F757F" w:rsidRPr="00DC1CA0" w14:paraId="6C88A89A" w14:textId="77777777" w:rsidTr="00DA305A">
        <w:trPr>
          <w:trHeight w:val="170"/>
          <w:tblHeader/>
        </w:trPr>
        <w:tc>
          <w:tcPr>
            <w:tcW w:w="5400" w:type="dxa"/>
            <w:tcBorders>
              <w:top w:val="nil"/>
              <w:left w:val="nil"/>
              <w:bottom w:val="single" w:sz="12" w:space="0" w:color="285781" w:themeColor="accent2"/>
            </w:tcBorders>
            <w:tcMar>
              <w:top w:w="115" w:type="dxa"/>
              <w:left w:w="115" w:type="dxa"/>
              <w:bottom w:w="115" w:type="dxa"/>
              <w:right w:w="115" w:type="dxa"/>
            </w:tcMar>
            <w:vAlign w:val="center"/>
          </w:tcPr>
          <w:p w14:paraId="63E40190" w14:textId="24309EF5" w:rsidR="001F1DA5" w:rsidRPr="001F1DA5" w:rsidRDefault="001F1DA5" w:rsidP="001F1DA5">
            <w:pPr>
              <w:pStyle w:val="TableColumnHeaders"/>
              <w:spacing w:after="0"/>
              <w:rPr>
                <w:b w:val="0"/>
                <w:bCs/>
                <w:i/>
                <w:iCs/>
                <w:color w:val="971D20" w:themeColor="accent3"/>
                <w:sz w:val="20"/>
                <w:szCs w:val="20"/>
              </w:rPr>
            </w:pPr>
            <w:r w:rsidRPr="001F1DA5">
              <w:rPr>
                <w:b w:val="0"/>
                <w:bCs/>
                <w:i/>
                <w:iCs/>
                <w:color w:val="971D20" w:themeColor="accent3"/>
                <w:sz w:val="20"/>
                <w:szCs w:val="20"/>
              </w:rPr>
              <w:t xml:space="preserve">Shawnee </w:t>
            </w:r>
            <w:r w:rsidR="00A34A2A">
              <w:rPr>
                <w:b w:val="0"/>
                <w:bCs/>
                <w:i/>
                <w:iCs/>
                <w:color w:val="971D20" w:themeColor="accent3"/>
                <w:sz w:val="20"/>
                <w:szCs w:val="20"/>
              </w:rPr>
              <w:t>d</w:t>
            </w:r>
            <w:r w:rsidRPr="001F1DA5">
              <w:rPr>
                <w:b w:val="0"/>
                <w:bCs/>
                <w:i/>
                <w:iCs/>
                <w:color w:val="971D20" w:themeColor="accent3"/>
                <w:sz w:val="20"/>
                <w:szCs w:val="20"/>
              </w:rPr>
              <w:t xml:space="preserve">emand </w:t>
            </w:r>
            <w:r w:rsidR="00A34A2A">
              <w:rPr>
                <w:b w:val="0"/>
                <w:bCs/>
                <w:i/>
                <w:iCs/>
                <w:color w:val="971D20" w:themeColor="accent3"/>
                <w:sz w:val="20"/>
                <w:szCs w:val="20"/>
              </w:rPr>
              <w:t>i</w:t>
            </w:r>
            <w:r w:rsidRPr="001F1DA5">
              <w:rPr>
                <w:b w:val="0"/>
                <w:bCs/>
                <w:i/>
                <w:iCs/>
                <w:color w:val="971D20" w:themeColor="accent3"/>
                <w:sz w:val="20"/>
                <w:szCs w:val="20"/>
              </w:rPr>
              <w:t>ncluded in</w:t>
            </w:r>
          </w:p>
          <w:p w14:paraId="2FD74166" w14:textId="04B7784E" w:rsidR="002F757F" w:rsidRDefault="001F1DA5" w:rsidP="001F1DA5">
            <w:pPr>
              <w:jc w:val="center"/>
              <w:rPr>
                <w:b/>
                <w:bCs/>
                <w:color w:val="FFFFFF" w:themeColor="background1"/>
              </w:rPr>
            </w:pPr>
            <w:r w:rsidRPr="001F1DA5">
              <w:rPr>
                <w:bCs/>
                <w:i/>
                <w:iCs/>
                <w:color w:val="971D20" w:themeColor="accent3"/>
                <w:sz w:val="20"/>
                <w:szCs w:val="20"/>
              </w:rPr>
              <w:t xml:space="preserve">Oklahoma’s </w:t>
            </w:r>
            <w:r w:rsidR="00A34A2A">
              <w:rPr>
                <w:bCs/>
                <w:i/>
                <w:iCs/>
                <w:color w:val="971D20" w:themeColor="accent3"/>
                <w:sz w:val="20"/>
                <w:szCs w:val="20"/>
              </w:rPr>
              <w:t>c</w:t>
            </w:r>
            <w:r w:rsidRPr="001F1DA5">
              <w:rPr>
                <w:bCs/>
                <w:i/>
                <w:iCs/>
                <w:color w:val="971D20" w:themeColor="accent3"/>
                <w:sz w:val="20"/>
                <w:szCs w:val="20"/>
              </w:rPr>
              <w:t>onstitution</w:t>
            </w:r>
          </w:p>
        </w:tc>
        <w:tc>
          <w:tcPr>
            <w:tcW w:w="5400" w:type="dxa"/>
            <w:tcBorders>
              <w:top w:val="nil"/>
              <w:bottom w:val="single" w:sz="4" w:space="0" w:color="288AC3" w:themeColor="accent1"/>
              <w:right w:val="nil"/>
            </w:tcBorders>
            <w:vAlign w:val="center"/>
          </w:tcPr>
          <w:p w14:paraId="3876F8DD" w14:textId="2853E77A" w:rsidR="001F1DA5" w:rsidRPr="001F1DA5" w:rsidRDefault="001F1DA5" w:rsidP="001F1DA5">
            <w:pPr>
              <w:pStyle w:val="TableColumnHeaders"/>
              <w:spacing w:after="0"/>
              <w:rPr>
                <w:b w:val="0"/>
                <w:bCs/>
                <w:i/>
                <w:iCs/>
                <w:color w:val="971D20" w:themeColor="accent3"/>
                <w:sz w:val="20"/>
                <w:szCs w:val="20"/>
              </w:rPr>
            </w:pPr>
            <w:r w:rsidRPr="001F1DA5">
              <w:rPr>
                <w:b w:val="0"/>
                <w:bCs/>
                <w:i/>
                <w:iCs/>
                <w:color w:val="971D20" w:themeColor="accent3"/>
                <w:sz w:val="20"/>
                <w:szCs w:val="20"/>
              </w:rPr>
              <w:t xml:space="preserve">How the </w:t>
            </w:r>
            <w:r w:rsidR="00A34A2A">
              <w:rPr>
                <w:b w:val="0"/>
                <w:bCs/>
                <w:i/>
                <w:iCs/>
                <w:color w:val="971D20" w:themeColor="accent3"/>
                <w:sz w:val="20"/>
                <w:szCs w:val="20"/>
              </w:rPr>
              <w:t>d</w:t>
            </w:r>
            <w:r w:rsidRPr="001F1DA5">
              <w:rPr>
                <w:b w:val="0"/>
                <w:bCs/>
                <w:i/>
                <w:iCs/>
                <w:color w:val="971D20" w:themeColor="accent3"/>
                <w:sz w:val="20"/>
                <w:szCs w:val="20"/>
              </w:rPr>
              <w:t xml:space="preserve">emand </w:t>
            </w:r>
            <w:r w:rsidR="00A34A2A">
              <w:rPr>
                <w:b w:val="0"/>
                <w:bCs/>
                <w:i/>
                <w:iCs/>
                <w:color w:val="971D20" w:themeColor="accent3"/>
                <w:sz w:val="20"/>
                <w:szCs w:val="20"/>
              </w:rPr>
              <w:t>r</w:t>
            </w:r>
            <w:r w:rsidRPr="001F1DA5">
              <w:rPr>
                <w:b w:val="0"/>
                <w:bCs/>
                <w:i/>
                <w:iCs/>
                <w:color w:val="971D20" w:themeColor="accent3"/>
                <w:sz w:val="20"/>
                <w:szCs w:val="20"/>
              </w:rPr>
              <w:t>eflects the</w:t>
            </w:r>
          </w:p>
          <w:p w14:paraId="2D493525" w14:textId="529B7E41" w:rsidR="002F757F" w:rsidRDefault="00A34A2A" w:rsidP="001F1DA5">
            <w:pPr>
              <w:jc w:val="center"/>
              <w:rPr>
                <w:b/>
                <w:bCs/>
                <w:color w:val="FFFFFF" w:themeColor="background1"/>
              </w:rPr>
            </w:pPr>
            <w:r>
              <w:rPr>
                <w:bCs/>
                <w:i/>
                <w:iCs/>
                <w:color w:val="971D20" w:themeColor="accent3"/>
                <w:sz w:val="20"/>
                <w:szCs w:val="20"/>
              </w:rPr>
              <w:t>p</w:t>
            </w:r>
            <w:r w:rsidR="001F1DA5" w:rsidRPr="001F1DA5">
              <w:rPr>
                <w:bCs/>
                <w:i/>
                <w:iCs/>
                <w:color w:val="971D20" w:themeColor="accent3"/>
                <w:sz w:val="20"/>
                <w:szCs w:val="20"/>
              </w:rPr>
              <w:t xml:space="preserve">rogressive and </w:t>
            </w:r>
            <w:r>
              <w:rPr>
                <w:bCs/>
                <w:i/>
                <w:iCs/>
                <w:color w:val="971D20" w:themeColor="accent3"/>
                <w:sz w:val="20"/>
                <w:szCs w:val="20"/>
              </w:rPr>
              <w:t>l</w:t>
            </w:r>
            <w:r w:rsidR="001F1DA5" w:rsidRPr="001F1DA5">
              <w:rPr>
                <w:bCs/>
                <w:i/>
                <w:iCs/>
                <w:color w:val="971D20" w:themeColor="accent3"/>
                <w:sz w:val="20"/>
                <w:szCs w:val="20"/>
              </w:rPr>
              <w:t xml:space="preserve">abor </w:t>
            </w:r>
            <w:r>
              <w:rPr>
                <w:bCs/>
                <w:i/>
                <w:iCs/>
                <w:color w:val="971D20" w:themeColor="accent3"/>
                <w:sz w:val="20"/>
                <w:szCs w:val="20"/>
              </w:rPr>
              <w:t>m</w:t>
            </w:r>
            <w:r w:rsidR="001F1DA5" w:rsidRPr="001F1DA5">
              <w:rPr>
                <w:bCs/>
                <w:i/>
                <w:iCs/>
                <w:color w:val="971D20" w:themeColor="accent3"/>
                <w:sz w:val="20"/>
                <w:szCs w:val="20"/>
              </w:rPr>
              <w:t>ovements</w:t>
            </w:r>
          </w:p>
        </w:tc>
      </w:tr>
      <w:tr w:rsidR="002F757F" w:rsidRPr="00DC1CA0" w14:paraId="4434FE28" w14:textId="77777777" w:rsidTr="00DA305A">
        <w:trPr>
          <w:tblHeader/>
        </w:trPr>
        <w:tc>
          <w:tcPr>
            <w:tcW w:w="10800" w:type="dxa"/>
            <w:gridSpan w:val="2"/>
            <w:shd w:val="clear" w:color="auto" w:fill="275781"/>
            <w:tcMar>
              <w:top w:w="115" w:type="dxa"/>
              <w:left w:w="115" w:type="dxa"/>
              <w:bottom w:w="115" w:type="dxa"/>
              <w:right w:w="115" w:type="dxa"/>
            </w:tcMar>
            <w:vAlign w:val="center"/>
            <w:hideMark/>
          </w:tcPr>
          <w:p w14:paraId="7036F678" w14:textId="3C7B618F" w:rsidR="002F757F" w:rsidRPr="00DC1CA0" w:rsidRDefault="002F757F" w:rsidP="001F1DA5">
            <w:pPr>
              <w:jc w:val="center"/>
              <w:rPr>
                <w:rFonts w:ascii="Times New Roman" w:hAnsi="Times New Roman" w:cs="Times New Roman"/>
                <w:b/>
                <w:bCs/>
                <w:color w:val="FFFFFF" w:themeColor="background1"/>
              </w:rPr>
            </w:pPr>
            <w:r>
              <w:rPr>
                <w:b/>
                <w:bCs/>
                <w:color w:val="FFFFFF" w:themeColor="background1"/>
              </w:rPr>
              <w:t>Legislative Demands</w:t>
            </w:r>
          </w:p>
        </w:tc>
      </w:tr>
      <w:tr w:rsidR="002F757F" w:rsidRPr="00DC1CA0" w14:paraId="2F6F77E5" w14:textId="77777777" w:rsidTr="00DA305A">
        <w:tc>
          <w:tcPr>
            <w:tcW w:w="5400" w:type="dxa"/>
            <w:tcMar>
              <w:top w:w="115" w:type="dxa"/>
              <w:left w:w="115" w:type="dxa"/>
              <w:bottom w:w="115" w:type="dxa"/>
              <w:right w:w="115" w:type="dxa"/>
            </w:tcMar>
            <w:vAlign w:val="center"/>
            <w:hideMark/>
          </w:tcPr>
          <w:p w14:paraId="176AA088" w14:textId="58C63EB7" w:rsidR="002F757F" w:rsidRPr="00DA305A" w:rsidRDefault="001F1DA5" w:rsidP="001F1DA5">
            <w:pPr>
              <w:pStyle w:val="Heading1"/>
              <w:rPr>
                <w:rFonts w:ascii="Times New Roman" w:hAnsi="Times New Roman" w:cs="Times New Roman"/>
                <w:sz w:val="20"/>
                <w:szCs w:val="20"/>
              </w:rPr>
            </w:pPr>
            <w:r w:rsidRPr="00DA305A">
              <w:rPr>
                <w:sz w:val="20"/>
                <w:szCs w:val="20"/>
              </w:rPr>
              <w:t>1. The initiative and referendum with the right of recall as adopted and applied in the state of Oregon.</w:t>
            </w:r>
          </w:p>
        </w:tc>
        <w:tc>
          <w:tcPr>
            <w:tcW w:w="5400" w:type="dxa"/>
            <w:tcMar>
              <w:top w:w="115" w:type="dxa"/>
              <w:left w:w="115" w:type="dxa"/>
              <w:bottom w:w="115" w:type="dxa"/>
              <w:right w:w="115" w:type="dxa"/>
            </w:tcMar>
            <w:vAlign w:val="center"/>
            <w:hideMark/>
          </w:tcPr>
          <w:p w14:paraId="709D485C" w14:textId="77777777" w:rsidR="002F757F" w:rsidRPr="00DC1CA0" w:rsidRDefault="002F757F" w:rsidP="00BD6A8E"/>
        </w:tc>
      </w:tr>
      <w:tr w:rsidR="002F757F" w:rsidRPr="00DC1CA0" w14:paraId="78A1FA79" w14:textId="77777777" w:rsidTr="00DA305A">
        <w:tc>
          <w:tcPr>
            <w:tcW w:w="5400" w:type="dxa"/>
            <w:tcMar>
              <w:top w:w="115" w:type="dxa"/>
              <w:left w:w="115" w:type="dxa"/>
              <w:bottom w:w="115" w:type="dxa"/>
              <w:right w:w="115" w:type="dxa"/>
            </w:tcMar>
            <w:vAlign w:val="center"/>
            <w:hideMark/>
          </w:tcPr>
          <w:p w14:paraId="625748BB" w14:textId="56FB7F6C" w:rsidR="002F757F" w:rsidRPr="00DA305A" w:rsidRDefault="001F1DA5" w:rsidP="001F1DA5">
            <w:pPr>
              <w:pStyle w:val="Heading1"/>
              <w:rPr>
                <w:rFonts w:ascii="Times New Roman" w:hAnsi="Times New Roman" w:cs="Times New Roman"/>
                <w:sz w:val="20"/>
                <w:szCs w:val="20"/>
              </w:rPr>
            </w:pPr>
            <w:r w:rsidRPr="00DA305A">
              <w:rPr>
                <w:sz w:val="20"/>
                <w:szCs w:val="20"/>
              </w:rPr>
              <w:t xml:space="preserve">5. </w:t>
            </w:r>
            <w:r w:rsidRPr="00DA305A">
              <w:rPr>
                <w:sz w:val="20"/>
                <w:szCs w:val="20"/>
                <w:lang w:val="en"/>
              </w:rPr>
              <w:t>That the common law relieving the employer from liability [for] employees injured through the carelessness of a fellow [employee] be [done away with], and suitable laws be passed by the first legislature protecting employees under such conditions.</w:t>
            </w:r>
          </w:p>
        </w:tc>
        <w:tc>
          <w:tcPr>
            <w:tcW w:w="5400" w:type="dxa"/>
            <w:tcMar>
              <w:top w:w="115" w:type="dxa"/>
              <w:left w:w="115" w:type="dxa"/>
              <w:bottom w:w="115" w:type="dxa"/>
              <w:right w:w="115" w:type="dxa"/>
            </w:tcMar>
            <w:vAlign w:val="center"/>
            <w:hideMark/>
          </w:tcPr>
          <w:p w14:paraId="498E2525" w14:textId="77777777" w:rsidR="002F757F" w:rsidRPr="00DC1CA0" w:rsidRDefault="002F757F" w:rsidP="00BD6A8E"/>
        </w:tc>
      </w:tr>
      <w:tr w:rsidR="001F1DA5" w:rsidRPr="00DC1CA0" w14:paraId="290E1C48" w14:textId="77777777" w:rsidTr="00DA305A">
        <w:tc>
          <w:tcPr>
            <w:tcW w:w="5400" w:type="dxa"/>
            <w:tcMar>
              <w:top w:w="115" w:type="dxa"/>
              <w:left w:w="115" w:type="dxa"/>
              <w:bottom w:w="115" w:type="dxa"/>
              <w:right w:w="115" w:type="dxa"/>
            </w:tcMar>
            <w:vAlign w:val="center"/>
          </w:tcPr>
          <w:p w14:paraId="7523FA4E" w14:textId="679FE0CA" w:rsidR="001F1DA5" w:rsidRPr="00DA305A" w:rsidRDefault="001F1DA5" w:rsidP="001F1DA5">
            <w:pPr>
              <w:pStyle w:val="Heading1"/>
              <w:rPr>
                <w:sz w:val="20"/>
                <w:szCs w:val="20"/>
              </w:rPr>
            </w:pPr>
            <w:r w:rsidRPr="00DA305A">
              <w:rPr>
                <w:sz w:val="20"/>
                <w:szCs w:val="20"/>
              </w:rPr>
              <w:t>7.  Not more than eight hours shall constitute a day’s work in all underground mines and on all works carried on by the state, county, or municipal government, and the legislature shall pass suitable laws to provide for the health and safety of employees in factories, mills, smelters, mines and on railroads.</w:t>
            </w:r>
          </w:p>
        </w:tc>
        <w:tc>
          <w:tcPr>
            <w:tcW w:w="5400" w:type="dxa"/>
            <w:tcMar>
              <w:top w:w="115" w:type="dxa"/>
              <w:left w:w="115" w:type="dxa"/>
              <w:bottom w:w="115" w:type="dxa"/>
              <w:right w:w="115" w:type="dxa"/>
            </w:tcMar>
            <w:vAlign w:val="center"/>
          </w:tcPr>
          <w:p w14:paraId="00466E9D" w14:textId="77777777" w:rsidR="001F1DA5" w:rsidRPr="00DC1CA0" w:rsidRDefault="001F1DA5" w:rsidP="00BD6A8E"/>
        </w:tc>
      </w:tr>
      <w:tr w:rsidR="001F1DA5" w:rsidRPr="00DC1CA0" w14:paraId="18553015" w14:textId="77777777" w:rsidTr="00DA305A">
        <w:tc>
          <w:tcPr>
            <w:tcW w:w="5400" w:type="dxa"/>
            <w:tcMar>
              <w:top w:w="115" w:type="dxa"/>
              <w:left w:w="115" w:type="dxa"/>
              <w:bottom w:w="115" w:type="dxa"/>
              <w:right w:w="115" w:type="dxa"/>
            </w:tcMar>
            <w:vAlign w:val="center"/>
          </w:tcPr>
          <w:p w14:paraId="5D244B53" w14:textId="1A2D2B42" w:rsidR="001F1DA5" w:rsidRPr="00DA305A" w:rsidRDefault="001F1DA5" w:rsidP="001F1DA5">
            <w:pPr>
              <w:pStyle w:val="Heading1"/>
              <w:rPr>
                <w:rFonts w:eastAsiaTheme="majorEastAsia"/>
                <w:sz w:val="20"/>
                <w:szCs w:val="20"/>
              </w:rPr>
            </w:pPr>
            <w:r w:rsidRPr="00DA305A">
              <w:rPr>
                <w:rFonts w:eastAsiaTheme="majorEastAsia"/>
                <w:sz w:val="20"/>
                <w:szCs w:val="20"/>
              </w:rPr>
              <w:t>8. That there shall be three commissioners elected by the people to regulate and maintain rates for railroads, insurance, telegraph, express companies, telephone and pipelines, and all other corporations.</w:t>
            </w:r>
          </w:p>
        </w:tc>
        <w:tc>
          <w:tcPr>
            <w:tcW w:w="5400" w:type="dxa"/>
            <w:tcMar>
              <w:top w:w="115" w:type="dxa"/>
              <w:left w:w="115" w:type="dxa"/>
              <w:bottom w:w="115" w:type="dxa"/>
              <w:right w:w="115" w:type="dxa"/>
            </w:tcMar>
            <w:vAlign w:val="center"/>
          </w:tcPr>
          <w:p w14:paraId="546A97FA" w14:textId="77777777" w:rsidR="001F1DA5" w:rsidRPr="00DC1CA0" w:rsidRDefault="001F1DA5" w:rsidP="00BD6A8E"/>
        </w:tc>
      </w:tr>
      <w:tr w:rsidR="001F1DA5" w:rsidRPr="00DC1CA0" w14:paraId="5657F805" w14:textId="77777777" w:rsidTr="00DA305A">
        <w:tc>
          <w:tcPr>
            <w:tcW w:w="5400" w:type="dxa"/>
            <w:tcMar>
              <w:top w:w="115" w:type="dxa"/>
              <w:left w:w="115" w:type="dxa"/>
              <w:bottom w:w="115" w:type="dxa"/>
              <w:right w:w="115" w:type="dxa"/>
            </w:tcMar>
            <w:vAlign w:val="center"/>
          </w:tcPr>
          <w:p w14:paraId="74B11B46" w14:textId="77777777" w:rsidR="001F1DA5" w:rsidRPr="00DA305A" w:rsidRDefault="001F1DA5" w:rsidP="001F1DA5">
            <w:pPr>
              <w:pStyle w:val="Heading1"/>
              <w:rPr>
                <w:sz w:val="20"/>
                <w:szCs w:val="20"/>
              </w:rPr>
            </w:pPr>
            <w:r w:rsidRPr="00DA305A">
              <w:rPr>
                <w:sz w:val="20"/>
                <w:szCs w:val="20"/>
              </w:rPr>
              <w:t>12. A commissioner of labor to be elected by the people.</w:t>
            </w:r>
          </w:p>
          <w:p w14:paraId="4970497C" w14:textId="77777777" w:rsidR="001F1DA5" w:rsidRPr="00DA305A" w:rsidRDefault="001F1DA5" w:rsidP="001F1DA5">
            <w:pPr>
              <w:pStyle w:val="Heading1"/>
              <w:rPr>
                <w:sz w:val="20"/>
                <w:szCs w:val="20"/>
              </w:rPr>
            </w:pPr>
            <w:r w:rsidRPr="00DA305A">
              <w:rPr>
                <w:sz w:val="20"/>
                <w:szCs w:val="20"/>
              </w:rPr>
              <w:t>13. A commissioner of agriculture to be elected by the people.</w:t>
            </w:r>
          </w:p>
          <w:p w14:paraId="30CF7284" w14:textId="73BFFA07" w:rsidR="001F1DA5" w:rsidRPr="00DA305A" w:rsidRDefault="001F1DA5" w:rsidP="001F1DA5">
            <w:pPr>
              <w:pStyle w:val="Heading1"/>
              <w:rPr>
                <w:rFonts w:eastAsiaTheme="majorEastAsia"/>
                <w:sz w:val="20"/>
                <w:szCs w:val="20"/>
              </w:rPr>
            </w:pPr>
            <w:r w:rsidRPr="00DA305A">
              <w:rPr>
                <w:sz w:val="20"/>
                <w:szCs w:val="20"/>
              </w:rPr>
              <w:t>16. We demand a corporate tax commission of three elected by the people, who shall have full power to inspect all accounts, vouchers, and books at any time, and put the true [estimate of worth] on all stocks, bonds, property, receipts, and money values, so that all corporations shall be assessed by the [properly] elected assessors.</w:t>
            </w:r>
          </w:p>
        </w:tc>
        <w:tc>
          <w:tcPr>
            <w:tcW w:w="5400" w:type="dxa"/>
            <w:tcMar>
              <w:top w:w="115" w:type="dxa"/>
              <w:left w:w="115" w:type="dxa"/>
              <w:bottom w:w="115" w:type="dxa"/>
              <w:right w:w="115" w:type="dxa"/>
            </w:tcMar>
            <w:vAlign w:val="center"/>
          </w:tcPr>
          <w:p w14:paraId="21690E58" w14:textId="77777777" w:rsidR="001F1DA5" w:rsidRPr="00DC1CA0" w:rsidRDefault="001F1DA5" w:rsidP="00BD6A8E"/>
        </w:tc>
      </w:tr>
    </w:tbl>
    <w:p w14:paraId="5106FECE" w14:textId="77777777" w:rsidR="00DA305A" w:rsidRDefault="00DA305A" w:rsidP="00304DC6"/>
    <w:p w14:paraId="44897FEC" w14:textId="77777777" w:rsidR="00DA305A" w:rsidRDefault="00DA305A" w:rsidP="00304DC6"/>
    <w:p w14:paraId="352A065D" w14:textId="77777777" w:rsidR="00DA305A" w:rsidRDefault="00DA305A" w:rsidP="00304DC6"/>
    <w:p w14:paraId="2A25BDB0" w14:textId="77777777" w:rsidR="00DA305A" w:rsidRDefault="00DA305A" w:rsidP="00304DC6"/>
    <w:p w14:paraId="79700C3E" w14:textId="5A92A1B4" w:rsidR="00DA305A" w:rsidRPr="00DA305A" w:rsidRDefault="00DA305A" w:rsidP="00DA305A">
      <w:pPr>
        <w:tabs>
          <w:tab w:val="left" w:pos="5900"/>
        </w:tabs>
      </w:pPr>
      <w:r>
        <w:tab/>
      </w:r>
    </w:p>
    <w:tbl>
      <w:tblPr>
        <w:tblStyle w:val="TableGrid"/>
        <w:tblW w:w="0" w:type="auto"/>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Look w:val="04A0" w:firstRow="1" w:lastRow="0" w:firstColumn="1" w:lastColumn="0" w:noHBand="0" w:noVBand="1"/>
      </w:tblPr>
      <w:tblGrid>
        <w:gridCol w:w="5395"/>
        <w:gridCol w:w="5395"/>
      </w:tblGrid>
      <w:tr w:rsidR="00DA305A" w:rsidRPr="00F93445" w14:paraId="1F6CF003" w14:textId="77777777" w:rsidTr="001B0B66">
        <w:trPr>
          <w:trHeight w:val="710"/>
        </w:trPr>
        <w:tc>
          <w:tcPr>
            <w:tcW w:w="5395" w:type="dxa"/>
            <w:tcBorders>
              <w:top w:val="nil"/>
              <w:left w:val="nil"/>
              <w:bottom w:val="nil"/>
              <w:right w:val="single" w:sz="4" w:space="0" w:color="288AC3" w:themeColor="accent1"/>
            </w:tcBorders>
            <w:vAlign w:val="center"/>
          </w:tcPr>
          <w:p w14:paraId="04EAE2DB" w14:textId="77777777" w:rsidR="00DA305A" w:rsidRPr="00F93445" w:rsidRDefault="00DA305A" w:rsidP="001B0B66">
            <w:pPr>
              <w:jc w:val="center"/>
              <w:rPr>
                <w:i/>
                <w:iCs/>
                <w:color w:val="971D20" w:themeColor="accent3"/>
                <w:sz w:val="20"/>
                <w:szCs w:val="20"/>
              </w:rPr>
            </w:pPr>
            <w:r w:rsidRPr="00F93445">
              <w:rPr>
                <w:i/>
                <w:iCs/>
                <w:color w:val="971D20" w:themeColor="accent3"/>
                <w:sz w:val="20"/>
                <w:szCs w:val="20"/>
              </w:rPr>
              <w:lastRenderedPageBreak/>
              <w:t xml:space="preserve">Shawnee demand included in </w:t>
            </w:r>
            <w:r>
              <w:rPr>
                <w:i/>
                <w:iCs/>
                <w:color w:val="971D20" w:themeColor="accent3"/>
                <w:sz w:val="20"/>
                <w:szCs w:val="20"/>
              </w:rPr>
              <w:br/>
            </w:r>
            <w:r w:rsidRPr="00F93445">
              <w:rPr>
                <w:i/>
                <w:iCs/>
                <w:color w:val="971D20" w:themeColor="accent3"/>
                <w:sz w:val="20"/>
                <w:szCs w:val="20"/>
              </w:rPr>
              <w:t>Oklahoma’s constitution</w:t>
            </w:r>
          </w:p>
        </w:tc>
        <w:tc>
          <w:tcPr>
            <w:tcW w:w="5395" w:type="dxa"/>
            <w:tcBorders>
              <w:top w:val="nil"/>
              <w:left w:val="single" w:sz="4" w:space="0" w:color="288AC3" w:themeColor="accent1"/>
              <w:bottom w:val="nil"/>
              <w:right w:val="nil"/>
            </w:tcBorders>
            <w:vAlign w:val="center"/>
          </w:tcPr>
          <w:p w14:paraId="420D9DD6" w14:textId="77777777" w:rsidR="00DA305A" w:rsidRPr="00F93445" w:rsidRDefault="00DA305A" w:rsidP="001B0B66">
            <w:pPr>
              <w:jc w:val="center"/>
              <w:rPr>
                <w:i/>
                <w:iCs/>
                <w:color w:val="971D20" w:themeColor="accent3"/>
                <w:sz w:val="20"/>
                <w:szCs w:val="20"/>
              </w:rPr>
            </w:pPr>
            <w:r w:rsidRPr="00F93445">
              <w:rPr>
                <w:i/>
                <w:iCs/>
                <w:color w:val="971D20" w:themeColor="accent3"/>
                <w:sz w:val="20"/>
                <w:szCs w:val="20"/>
              </w:rPr>
              <w:t xml:space="preserve">How the demand reflects the </w:t>
            </w:r>
            <w:r>
              <w:rPr>
                <w:i/>
                <w:iCs/>
                <w:color w:val="971D20" w:themeColor="accent3"/>
                <w:sz w:val="20"/>
                <w:szCs w:val="20"/>
              </w:rPr>
              <w:br/>
            </w:r>
            <w:r w:rsidRPr="00F93445">
              <w:rPr>
                <w:i/>
                <w:iCs/>
                <w:color w:val="971D20" w:themeColor="accent3"/>
                <w:sz w:val="20"/>
                <w:szCs w:val="20"/>
              </w:rPr>
              <w:t>progressive and labor movements</w:t>
            </w:r>
          </w:p>
        </w:tc>
      </w:tr>
      <w:tr w:rsidR="00DA305A" w:rsidRPr="00F93445" w14:paraId="10565B89" w14:textId="77777777" w:rsidTr="001B0B66">
        <w:trPr>
          <w:trHeight w:val="458"/>
        </w:trPr>
        <w:tc>
          <w:tcPr>
            <w:tcW w:w="10790" w:type="dxa"/>
            <w:gridSpan w:val="2"/>
            <w:tcBorders>
              <w:top w:val="nil"/>
            </w:tcBorders>
            <w:shd w:val="clear" w:color="auto" w:fill="285781" w:themeFill="accent2"/>
            <w:vAlign w:val="center"/>
          </w:tcPr>
          <w:p w14:paraId="314071B1" w14:textId="77777777" w:rsidR="00DA305A" w:rsidRPr="00F93445" w:rsidRDefault="00DA305A" w:rsidP="001B0B66">
            <w:pPr>
              <w:jc w:val="center"/>
              <w:rPr>
                <w:color w:val="FFFFFF" w:themeColor="background1"/>
              </w:rPr>
            </w:pPr>
            <w:r w:rsidRPr="00F93445">
              <w:rPr>
                <w:b/>
                <w:bCs/>
                <w:color w:val="FFFFFF"/>
                <w:sz w:val="20"/>
                <w:szCs w:val="20"/>
              </w:rPr>
              <w:t>Prohibitive Demands</w:t>
            </w:r>
          </w:p>
        </w:tc>
      </w:tr>
      <w:tr w:rsidR="00DA305A" w14:paraId="4ABFDDA7" w14:textId="77777777" w:rsidTr="001B0B66">
        <w:trPr>
          <w:trHeight w:val="971"/>
        </w:trPr>
        <w:tc>
          <w:tcPr>
            <w:tcW w:w="5395" w:type="dxa"/>
            <w:vAlign w:val="center"/>
          </w:tcPr>
          <w:p w14:paraId="5C024E24" w14:textId="77777777" w:rsidR="00DA305A" w:rsidRPr="00F93445" w:rsidRDefault="00DA305A" w:rsidP="001B0B66">
            <w:pPr>
              <w:rPr>
                <w:b/>
                <w:bCs/>
                <w:color w:val="971D20" w:themeColor="accent3"/>
              </w:rPr>
            </w:pPr>
            <w:r w:rsidRPr="00F93445">
              <w:rPr>
                <w:b/>
                <w:bCs/>
                <w:color w:val="971D20" w:themeColor="accent3"/>
                <w:sz w:val="20"/>
                <w:szCs w:val="20"/>
              </w:rPr>
              <w:t>1. The employment of children under sixteen years of age in mines, mills, and factories.</w:t>
            </w:r>
          </w:p>
        </w:tc>
        <w:tc>
          <w:tcPr>
            <w:tcW w:w="5395" w:type="dxa"/>
            <w:vAlign w:val="center"/>
          </w:tcPr>
          <w:p w14:paraId="5F7C9DD5" w14:textId="730D8A75" w:rsidR="00DA305A" w:rsidRDefault="00DA305A" w:rsidP="001B0B66">
            <w:pPr>
              <w:jc w:val="center"/>
            </w:pPr>
          </w:p>
        </w:tc>
      </w:tr>
      <w:tr w:rsidR="00DA305A" w14:paraId="64988C76" w14:textId="77777777" w:rsidTr="001B0B66">
        <w:trPr>
          <w:trHeight w:val="2060"/>
        </w:trPr>
        <w:tc>
          <w:tcPr>
            <w:tcW w:w="5395" w:type="dxa"/>
            <w:vAlign w:val="center"/>
          </w:tcPr>
          <w:p w14:paraId="3DA73160" w14:textId="77777777" w:rsidR="00DA305A" w:rsidRPr="00F93445" w:rsidRDefault="00DA305A" w:rsidP="001B0B66">
            <w:pPr>
              <w:rPr>
                <w:b/>
                <w:bCs/>
                <w:color w:val="971D20" w:themeColor="accent3"/>
              </w:rPr>
            </w:pPr>
            <w:r w:rsidRPr="00F93445">
              <w:rPr>
                <w:b/>
                <w:bCs/>
                <w:color w:val="971D20" w:themeColor="accent3"/>
                <w:sz w:val="20"/>
                <w:szCs w:val="20"/>
              </w:rPr>
              <w:t>5. Railroads from owning coal lands or leasing any kind of mines directly or indirectly.</w:t>
            </w:r>
          </w:p>
        </w:tc>
        <w:tc>
          <w:tcPr>
            <w:tcW w:w="5395" w:type="dxa"/>
            <w:vAlign w:val="center"/>
          </w:tcPr>
          <w:p w14:paraId="521E0452" w14:textId="7B0E6A36" w:rsidR="00DA305A" w:rsidRDefault="00DA305A" w:rsidP="001B0B66">
            <w:pPr>
              <w:jc w:val="center"/>
            </w:pPr>
          </w:p>
        </w:tc>
      </w:tr>
      <w:tr w:rsidR="00DA305A" w14:paraId="1DE64B89" w14:textId="77777777" w:rsidTr="001B0B66">
        <w:trPr>
          <w:trHeight w:val="1781"/>
        </w:trPr>
        <w:tc>
          <w:tcPr>
            <w:tcW w:w="5395" w:type="dxa"/>
            <w:vAlign w:val="center"/>
          </w:tcPr>
          <w:p w14:paraId="4B51806E" w14:textId="77777777" w:rsidR="00DA305A" w:rsidRPr="00F93445" w:rsidRDefault="00DA305A" w:rsidP="001B0B66">
            <w:pPr>
              <w:rPr>
                <w:b/>
                <w:bCs/>
                <w:color w:val="971D20" w:themeColor="accent3"/>
              </w:rPr>
            </w:pPr>
            <w:r w:rsidRPr="00F93445">
              <w:rPr>
                <w:b/>
                <w:bCs/>
                <w:color w:val="971D20" w:themeColor="accent3"/>
                <w:sz w:val="20"/>
                <w:szCs w:val="20"/>
              </w:rPr>
              <w:t>6. Any corporation from transacting business in the state without first [getting] a charter under the laws of the state.</w:t>
            </w:r>
          </w:p>
        </w:tc>
        <w:tc>
          <w:tcPr>
            <w:tcW w:w="5395" w:type="dxa"/>
            <w:vAlign w:val="center"/>
          </w:tcPr>
          <w:p w14:paraId="10B8D594" w14:textId="0FC7B243" w:rsidR="00DA305A" w:rsidRDefault="00DA305A" w:rsidP="001B0B66">
            <w:pPr>
              <w:jc w:val="center"/>
            </w:pPr>
          </w:p>
        </w:tc>
      </w:tr>
    </w:tbl>
    <w:p w14:paraId="7912E206" w14:textId="2842EA5D" w:rsidR="00D72955" w:rsidRDefault="00304DC6" w:rsidP="00304DC6">
      <w:r>
        <w:br/>
      </w:r>
    </w:p>
    <w:p w14:paraId="55560340" w14:textId="4AD70CAE" w:rsidR="001B5BA6" w:rsidRPr="00DC1CA0" w:rsidRDefault="001B5BA6" w:rsidP="00DC1CA0"/>
    <w:sectPr w:rsidR="001B5BA6" w:rsidRPr="00DC1CA0" w:rsidSect="00DA305A">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25B0DB" w14:textId="77777777" w:rsidR="00F21022" w:rsidRDefault="00F21022" w:rsidP="00DC1CA0">
      <w:r>
        <w:separator/>
      </w:r>
    </w:p>
  </w:endnote>
  <w:endnote w:type="continuationSeparator" w:id="0">
    <w:p w14:paraId="2FB56F04" w14:textId="77777777" w:rsidR="00F21022" w:rsidRDefault="00F21022"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5FF9C7" w14:textId="68B509D5" w:rsidR="00DC1CA0" w:rsidRPr="00304DC6" w:rsidRDefault="00DA305A" w:rsidP="004C2D48">
    <w:pPr>
      <w:pStyle w:val="Footer"/>
    </w:pPr>
    <w:r>
      <w:rPr>
        <w:noProof/>
      </w:rPr>
      <mc:AlternateContent>
        <mc:Choice Requires="wps">
          <w:drawing>
            <wp:anchor distT="0" distB="0" distL="114300" distR="114300" simplePos="0" relativeHeight="251663360" behindDoc="1" locked="0" layoutInCell="1" allowOverlap="1" wp14:anchorId="63EAB9C2" wp14:editId="5933BF48">
              <wp:simplePos x="0" y="0"/>
              <wp:positionH relativeFrom="column">
                <wp:posOffset>2065655</wp:posOffset>
              </wp:positionH>
              <wp:positionV relativeFrom="paragraph">
                <wp:posOffset>-235585</wp:posOffset>
              </wp:positionV>
              <wp:extent cx="3933477"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933477" cy="1828800"/>
                      </a:xfrm>
                      <a:prstGeom prst="rect">
                        <a:avLst/>
                      </a:prstGeom>
                      <a:noFill/>
                      <a:ln w="6350">
                        <a:noFill/>
                      </a:ln>
                    </wps:spPr>
                    <wps:txbx>
                      <w:txbxContent>
                        <w:p w14:paraId="4644756C" w14:textId="6892D946" w:rsidR="009F0B2E" w:rsidRPr="00DA305A" w:rsidRDefault="00DA305A" w:rsidP="00DA305A">
                          <w:pPr>
                            <w:pStyle w:val="Footer"/>
                          </w:pPr>
                          <w:fldSimple w:instr=" TITLE  \* MERGEFORMAT ">
                            <w:r>
                              <w:t>Progressivism and Oklahoma's Constitution</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62.65pt;margin-top:-18.55pt;width:309.7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xvjAGgIAAC0EAAAOAAAAZHJzL2Uyb0RvYy54bWysU9tuGyEQfa/Uf0C817u+JHFWXkduIleV&#13;&#10;rCSSU+UZs+BdCRgK2Lvu13fA64vSPlV9gYEZ5nLOYfbQaUX2wvkGTEmHg5wSYThUjdmW9Mfb8suU&#13;&#10;Eh+YqZgCI0p6EJ4+zD9/mrW2ECOoQVXCEUxifNHaktYh2CLLPK+FZn4AVhh0SnCaBTy6bVY51mJ2&#13;&#10;rbJRnt9mLbjKOuDCe7x9OjrpPOWXUvDwIqUXgaiSYm8hrS6tm7hm8xkrto7ZuuF9G+wfutCsMVj0&#13;&#10;nOqJBUZ2rvkjlW64Aw8yDDjoDKRsuEgz4DTD/MM065pZkWZBcLw9w+T/X1r+vF/bV0dC9xU6JDAC&#13;&#10;0lpfeLyM83TS6bhjpwT9COHhDJvoAuF4Ob4fjyd3d5Rw9A2no+k0T8Bml+fW+fBNgCbRKKlDXhJc&#13;&#10;bL/yAUti6CkkVjOwbJRK3ChD2pLejm/y9ODswRfK4MNLs9EK3abrJ9hAdcDBHBw595YvGyy+Yj68&#13;&#10;Mock4ywo3PCCi1SARaC3KKnB/frbfYxH7NFLSYuiKan/uWNOUKK+G2TlfjiZRJWlw+TmboQHd+3Z&#13;&#10;XHvMTj8C6nKIX8TyZMb4oE6mdKDfUd+LWBVdzHCsXdJwMh/DUcr4P7hYLFIQ6sqysDJry2PqCGeE&#13;&#10;9q17Z872+Aek7hlO8mLFBxqOsfGlt4tdQDISRxHgI6o97qjJRF3/f6Lor88p6vLL578BAAD//wMA&#13;&#10;UEsDBBQABgAIAAAAIQD9mRCW4gAAABABAAAPAAAAZHJzL2Rvd25yZXYueG1sTE9LbsIwEN1X6h2s&#13;&#10;qdRNBc4HSglxUEWVNSL0ACYeklB7HMUOSW9fd9VuRnqa9833s9HsjoPrLAmIlxEwpNqqjhoBn+dy&#13;&#10;8QbMeUlKakso4Bsd7IvHh1xmyk50wnvlGxZMyGVSQOt9n3Hu6haNdEvbI4Xf1Q5G+gCHhqtBTsHc&#13;&#10;aJ5E0Ss3sqOQ0MoeDy3WX9VoBNhketGnKi4Px+lWRscRz5VDIZ6f5o9dOO87YB5n/6eA3w2hPxSh&#13;&#10;2MWOpBzTAtJknQaqgEW6iYEFxna12gC7CEjW0RZ4kfP/Q4ofAAAA//8DAFBLAQItABQABgAIAAAA&#13;&#10;IQC2gziS/gAAAOEBAAATAAAAAAAAAAAAAAAAAAAAAABbQ29udGVudF9UeXBlc10ueG1sUEsBAi0A&#13;&#10;FAAGAAgAAAAhADj9If/WAAAAlAEAAAsAAAAAAAAAAAAAAAAALwEAAF9yZWxzLy5yZWxzUEsBAi0A&#13;&#10;FAAGAAgAAAAhAMHG+MAaAgAALQQAAA4AAAAAAAAAAAAAAAAALgIAAGRycy9lMm9Eb2MueG1sUEsB&#13;&#10;Ai0AFAAGAAgAAAAhAP2ZEJbiAAAAEAEAAA8AAAAAAAAAAAAAAAAAdAQAAGRycy9kb3ducmV2Lnht&#13;&#10;bFBLBQYAAAAABAAEAPMAAACDBQAAAAA=&#13;&#10;" filled="f" stroked="f" strokeweight=".5pt">
              <v:textbox style="mso-fit-shape-to-text:t">
                <w:txbxContent>
                  <w:p w14:paraId="4644756C" w14:textId="6892D946" w:rsidR="009F0B2E" w:rsidRPr="00DA305A" w:rsidRDefault="00DA305A" w:rsidP="00DA305A">
                    <w:pPr>
                      <w:pStyle w:val="Footer"/>
                    </w:pPr>
                    <w:fldSimple w:instr=" TITLE  \* MERGEFORMAT ">
                      <w:r>
                        <w:t>Progressivism and Oklahoma's Constitution</w:t>
                      </w:r>
                    </w:fldSimple>
                  </w:p>
                </w:txbxContent>
              </v:textbox>
            </v:shape>
          </w:pict>
        </mc:Fallback>
      </mc:AlternateContent>
    </w:r>
    <w:r>
      <w:rPr>
        <w:noProof/>
      </w:rPr>
      <w:drawing>
        <wp:anchor distT="0" distB="0" distL="114300" distR="114300" simplePos="0" relativeHeight="251662335" behindDoc="1" locked="0" layoutInCell="1" allowOverlap="1" wp14:anchorId="799A76CF" wp14:editId="3E9938BB">
          <wp:simplePos x="0" y="0"/>
          <wp:positionH relativeFrom="column">
            <wp:posOffset>1965325</wp:posOffset>
          </wp:positionH>
          <wp:positionV relativeFrom="paragraph">
            <wp:posOffset>-193040</wp:posOffset>
          </wp:positionV>
          <wp:extent cx="49149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9149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5E157D" w14:textId="77777777" w:rsidR="00F21022" w:rsidRDefault="00F21022" w:rsidP="00DC1CA0">
      <w:r>
        <w:separator/>
      </w:r>
    </w:p>
  </w:footnote>
  <w:footnote w:type="continuationSeparator" w:id="0">
    <w:p w14:paraId="3ED6EBE9" w14:textId="77777777" w:rsidR="00F21022" w:rsidRDefault="00F21022"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43"/>
    <w:rsid w:val="00072D23"/>
    <w:rsid w:val="000C7623"/>
    <w:rsid w:val="001B5BA6"/>
    <w:rsid w:val="001F1DA5"/>
    <w:rsid w:val="002040D8"/>
    <w:rsid w:val="00233158"/>
    <w:rsid w:val="00245200"/>
    <w:rsid w:val="00246BC1"/>
    <w:rsid w:val="00274BB5"/>
    <w:rsid w:val="002D4C34"/>
    <w:rsid w:val="002E4210"/>
    <w:rsid w:val="002F757F"/>
    <w:rsid w:val="00304DC6"/>
    <w:rsid w:val="00403889"/>
    <w:rsid w:val="00463853"/>
    <w:rsid w:val="00480109"/>
    <w:rsid w:val="004806AD"/>
    <w:rsid w:val="004856EB"/>
    <w:rsid w:val="004C2D48"/>
    <w:rsid w:val="004D0B87"/>
    <w:rsid w:val="005345DE"/>
    <w:rsid w:val="005B2598"/>
    <w:rsid w:val="005B4511"/>
    <w:rsid w:val="005E3EB2"/>
    <w:rsid w:val="00644B47"/>
    <w:rsid w:val="00661443"/>
    <w:rsid w:val="006C5B24"/>
    <w:rsid w:val="006E2654"/>
    <w:rsid w:val="006F637F"/>
    <w:rsid w:val="00782F44"/>
    <w:rsid w:val="007A5710"/>
    <w:rsid w:val="007C1DC0"/>
    <w:rsid w:val="008C5074"/>
    <w:rsid w:val="008D218E"/>
    <w:rsid w:val="008E31E6"/>
    <w:rsid w:val="008F712F"/>
    <w:rsid w:val="009112D3"/>
    <w:rsid w:val="00914680"/>
    <w:rsid w:val="00976B6A"/>
    <w:rsid w:val="00977E3D"/>
    <w:rsid w:val="009A7873"/>
    <w:rsid w:val="009D2127"/>
    <w:rsid w:val="009F0B2E"/>
    <w:rsid w:val="00A1673F"/>
    <w:rsid w:val="00A34A2A"/>
    <w:rsid w:val="00A77EC7"/>
    <w:rsid w:val="00AF1E6D"/>
    <w:rsid w:val="00AF213D"/>
    <w:rsid w:val="00BD7B9F"/>
    <w:rsid w:val="00BE54E3"/>
    <w:rsid w:val="00BF08CE"/>
    <w:rsid w:val="00C83603"/>
    <w:rsid w:val="00CB4586"/>
    <w:rsid w:val="00CD2461"/>
    <w:rsid w:val="00CE2E34"/>
    <w:rsid w:val="00CF4EFB"/>
    <w:rsid w:val="00D72955"/>
    <w:rsid w:val="00D760BA"/>
    <w:rsid w:val="00D943E0"/>
    <w:rsid w:val="00DA305A"/>
    <w:rsid w:val="00DC1CA0"/>
    <w:rsid w:val="00DE0B48"/>
    <w:rsid w:val="00E26CEB"/>
    <w:rsid w:val="00E326C3"/>
    <w:rsid w:val="00E45663"/>
    <w:rsid w:val="00E46C11"/>
    <w:rsid w:val="00E76FF3"/>
    <w:rsid w:val="00EA2AF9"/>
    <w:rsid w:val="00EB6E7A"/>
    <w:rsid w:val="00F10244"/>
    <w:rsid w:val="00F21022"/>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B0EAD"/>
  <w15:chartTrackingRefBased/>
  <w15:docId w15:val="{533D6654-CC75-B24A-8A17-066FAA38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2F757F"/>
  </w:style>
  <w:style w:type="paragraph" w:styleId="Heading1">
    <w:name w:val="heading 1"/>
    <w:basedOn w:val="Normal"/>
    <w:next w:val="Normal"/>
    <w:link w:val="Heading1Char"/>
    <w:uiPriority w:val="9"/>
    <w:qFormat/>
    <w:rsid w:val="002F757F"/>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2F757F"/>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2F757F"/>
    <w:pPr>
      <w:outlineLvl w:val="2"/>
    </w:pPr>
    <w:rPr>
      <w:i/>
      <w:iCs/>
      <w:sz w:val="18"/>
      <w:szCs w:val="18"/>
    </w:rPr>
  </w:style>
  <w:style w:type="paragraph" w:styleId="Heading4">
    <w:name w:val="heading 4"/>
    <w:basedOn w:val="Footer"/>
    <w:next w:val="Normal"/>
    <w:link w:val="Heading4Char"/>
    <w:uiPriority w:val="9"/>
    <w:unhideWhenUsed/>
    <w:qFormat/>
    <w:rsid w:val="002F757F"/>
    <w:rPr>
      <w:b w:val="0"/>
      <w:bCs w:val="0"/>
    </w:rPr>
  </w:style>
  <w:style w:type="paragraph" w:styleId="Heading5">
    <w:name w:val="heading 5"/>
    <w:basedOn w:val="Normal"/>
    <w:next w:val="Normal"/>
    <w:link w:val="Heading5Char"/>
    <w:uiPriority w:val="9"/>
    <w:semiHidden/>
    <w:unhideWhenUsed/>
    <w:qFormat/>
    <w:rsid w:val="002F757F"/>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2F7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57F"/>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2F757F"/>
    <w:rPr>
      <w:i/>
      <w:iCs/>
      <w:color w:val="971D20" w:themeColor="accent3"/>
    </w:rPr>
  </w:style>
  <w:style w:type="character" w:customStyle="1" w:styleId="Heading3Char">
    <w:name w:val="Heading 3 Char"/>
    <w:aliases w:val="Caption/Cutline/Citation Char"/>
    <w:basedOn w:val="DefaultParagraphFont"/>
    <w:link w:val="Heading3"/>
    <w:uiPriority w:val="9"/>
    <w:rsid w:val="002F757F"/>
    <w:rPr>
      <w:i/>
      <w:iCs/>
      <w:sz w:val="18"/>
      <w:szCs w:val="18"/>
    </w:rPr>
  </w:style>
  <w:style w:type="character" w:customStyle="1" w:styleId="Heading4Char">
    <w:name w:val="Heading 4 Char"/>
    <w:basedOn w:val="DefaultParagraphFont"/>
    <w:link w:val="Heading4"/>
    <w:uiPriority w:val="9"/>
    <w:rsid w:val="002F757F"/>
    <w:rPr>
      <w:caps/>
    </w:rPr>
  </w:style>
  <w:style w:type="character" w:customStyle="1" w:styleId="Heading5Char">
    <w:name w:val="Heading 5 Char"/>
    <w:basedOn w:val="DefaultParagraphFont"/>
    <w:link w:val="Heading5"/>
    <w:uiPriority w:val="9"/>
    <w:semiHidden/>
    <w:rsid w:val="002F757F"/>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2F7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57F"/>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2F757F"/>
    <w:rPr>
      <w:b/>
      <w:bCs/>
      <w:caps/>
      <w:sz w:val="32"/>
      <w:szCs w:val="32"/>
    </w:rPr>
  </w:style>
  <w:style w:type="character" w:customStyle="1" w:styleId="TitleChar">
    <w:name w:val="Title Char"/>
    <w:aliases w:val="Document Title Char"/>
    <w:basedOn w:val="DefaultParagraphFont"/>
    <w:link w:val="Title"/>
    <w:uiPriority w:val="10"/>
    <w:rsid w:val="002F757F"/>
    <w:rPr>
      <w:b/>
      <w:bCs/>
      <w:caps/>
      <w:sz w:val="32"/>
      <w:szCs w:val="32"/>
    </w:rPr>
  </w:style>
  <w:style w:type="character" w:styleId="FollowedHyperlink">
    <w:name w:val="FollowedHyperlink"/>
    <w:basedOn w:val="DefaultParagraphFont"/>
    <w:uiPriority w:val="99"/>
    <w:semiHidden/>
    <w:unhideWhenUsed/>
    <w:rsid w:val="002F757F"/>
    <w:rPr>
      <w:color w:val="288AC3" w:themeColor="followedHyperlink"/>
      <w:u w:val="single"/>
    </w:rPr>
  </w:style>
  <w:style w:type="paragraph" w:styleId="Footer">
    <w:name w:val="footer"/>
    <w:basedOn w:val="Normal"/>
    <w:link w:val="FooterChar"/>
    <w:uiPriority w:val="99"/>
    <w:unhideWhenUsed/>
    <w:rsid w:val="002F757F"/>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2F757F"/>
    <w:rPr>
      <w:b/>
      <w:bCs/>
      <w:caps/>
    </w:rPr>
  </w:style>
  <w:style w:type="paragraph" w:styleId="NormalWeb">
    <w:name w:val="Normal (Web)"/>
    <w:basedOn w:val="Normal"/>
    <w:uiPriority w:val="99"/>
    <w:semiHidden/>
    <w:unhideWhenUsed/>
    <w:rsid w:val="002F757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2F757F"/>
    <w:pPr>
      <w:ind w:left="720"/>
    </w:pPr>
    <w:rPr>
      <w:i/>
    </w:rPr>
  </w:style>
  <w:style w:type="character" w:styleId="Hyperlink">
    <w:name w:val="Hyperlink"/>
    <w:basedOn w:val="DefaultParagraphFont"/>
    <w:uiPriority w:val="99"/>
    <w:unhideWhenUsed/>
    <w:rsid w:val="002F757F"/>
    <w:rPr>
      <w:color w:val="2783BA"/>
      <w:u w:val="single"/>
    </w:rPr>
  </w:style>
  <w:style w:type="character" w:styleId="UnresolvedMention">
    <w:name w:val="Unresolved Mention"/>
    <w:basedOn w:val="DefaultParagraphFont"/>
    <w:uiPriority w:val="99"/>
    <w:semiHidden/>
    <w:unhideWhenUsed/>
    <w:rsid w:val="002F757F"/>
    <w:rPr>
      <w:color w:val="605E5C"/>
      <w:shd w:val="clear" w:color="auto" w:fill="E1DFDD"/>
    </w:rPr>
  </w:style>
  <w:style w:type="paragraph" w:styleId="Header">
    <w:name w:val="header"/>
    <w:basedOn w:val="Normal"/>
    <w:link w:val="HeaderChar"/>
    <w:uiPriority w:val="99"/>
    <w:unhideWhenUsed/>
    <w:rsid w:val="002F7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57F"/>
  </w:style>
  <w:style w:type="paragraph" w:styleId="ListParagraph">
    <w:name w:val="List Paragraph"/>
    <w:basedOn w:val="Normal"/>
    <w:uiPriority w:val="34"/>
    <w:qFormat/>
    <w:rsid w:val="002F757F"/>
    <w:pPr>
      <w:ind w:left="720"/>
      <w:contextualSpacing/>
    </w:pPr>
  </w:style>
  <w:style w:type="paragraph" w:customStyle="1" w:styleId="AnswerKey">
    <w:name w:val="Answer Key"/>
    <w:basedOn w:val="Normal"/>
    <w:qFormat/>
    <w:rsid w:val="002F757F"/>
    <w:rPr>
      <w:color w:val="D30F7F" w:themeColor="accent5"/>
    </w:rPr>
  </w:style>
  <w:style w:type="paragraph" w:customStyle="1" w:styleId="TableColumnHeaders">
    <w:name w:val="Table Column Headers"/>
    <w:basedOn w:val="Normal"/>
    <w:link w:val="TableColumnHeadersChar"/>
    <w:autoRedefine/>
    <w:qFormat/>
    <w:rsid w:val="001F1DA5"/>
    <w:pPr>
      <w:spacing w:after="120" w:line="276" w:lineRule="auto"/>
      <w:jc w:val="center"/>
    </w:pPr>
    <w:rPr>
      <w:rFonts w:asciiTheme="majorHAnsi" w:hAnsiTheme="majorHAnsi"/>
      <w:b/>
      <w:color w:val="FFFFFF" w:themeColor="background1"/>
      <w:kern w:val="0"/>
      <w:szCs w:val="22"/>
      <w14:ligatures w14:val="none"/>
    </w:rPr>
  </w:style>
  <w:style w:type="character" w:customStyle="1" w:styleId="TableColumnHeadersChar">
    <w:name w:val="Table Column Headers Char"/>
    <w:basedOn w:val="DefaultParagraphFont"/>
    <w:link w:val="TableColumnHeaders"/>
    <w:rsid w:val="001F1DA5"/>
    <w:rPr>
      <w:rFonts w:asciiTheme="majorHAnsi" w:hAnsiTheme="majorHAnsi"/>
      <w:b/>
      <w:color w:val="FFFFFF" w:themeColor="background1"/>
      <w:kern w:val="0"/>
      <w:szCs w:val="22"/>
      <w14:ligatures w14:val="none"/>
    </w:rPr>
  </w:style>
  <w:style w:type="table" w:styleId="TableGrid">
    <w:name w:val="Table Grid"/>
    <w:basedOn w:val="TableNormal"/>
    <w:uiPriority w:val="39"/>
    <w:rsid w:val="00DA305A"/>
    <w:pPr>
      <w:spacing w:after="0" w:line="240" w:lineRule="auto"/>
    </w:pPr>
    <w:rPr>
      <w:rFonts w:ascii="Calibri" w:eastAsia="Calibri" w:hAnsi="Calibri" w:cs="Calibri"/>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halstied/Downloads/Vertical%20(25)&#8212;Template%202.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Vertical (25)—Template 2.dotx</Template>
  <TotalTime>0</TotalTime>
  <Pages>2</Pages>
  <Words>305</Words>
  <Characters>1629</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1920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Progressivism and Oklahoma's Constitution</dc:title>
  <dc:subject/>
  <dc:creator>K20 Center</dc:creator>
  <cp:keywords/>
  <dc:description/>
  <cp:lastModifiedBy>Gracia, Ann M.</cp:lastModifiedBy>
  <cp:revision>3</cp:revision>
  <cp:lastPrinted>2026-07-02T15:38:00Z</cp:lastPrinted>
  <dcterms:created xsi:type="dcterms:W3CDTF">2026-07-02T15:38:00Z</dcterms:created>
  <dcterms:modified xsi:type="dcterms:W3CDTF">2026-07-02T15:38:00Z</dcterms:modified>
  <cp:category/>
</cp:coreProperties>
</file>