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01BB17" w14:textId="6368CD9A" w:rsidR="00446C13" w:rsidRPr="0090177D" w:rsidRDefault="00EB6B34" w:rsidP="004F2BBD">
      <w:pPr>
        <w:pStyle w:val="Title"/>
        <w:rPr>
          <w:lang w:val="es-US"/>
        </w:rPr>
      </w:pPr>
      <w:r>
        <w:rPr>
          <w:bCs/>
          <w:lang w:val="es"/>
        </w:rPr>
        <w:t>desertificación en el Sahel</w:t>
      </w:r>
    </w:p>
    <w:p w14:paraId="30B40795" w14:textId="0593BC1E" w:rsidR="00EB7156" w:rsidRPr="0090177D" w:rsidRDefault="00EB6B34" w:rsidP="00E61B71">
      <w:pPr>
        <w:spacing w:before="240"/>
        <w:jc w:val="both"/>
        <w:rPr>
          <w:rFonts w:ascii="Calibri" w:eastAsia="Calibri" w:hAnsi="Calibri" w:cs="Calibri"/>
          <w:szCs w:val="24"/>
          <w:lang w:val="es-US"/>
        </w:rPr>
      </w:pPr>
      <w:r>
        <w:rPr>
          <w:rFonts w:ascii="Calibri" w:eastAsia="Calibri" w:hAnsi="Calibri" w:cs="Calibri"/>
          <w:szCs w:val="24"/>
          <w:lang w:val="es"/>
        </w:rPr>
        <w:t>El Sahel, un pastizal semiárido, se extiende a lo largo del borde meridional del desierto del Sahara. Esta franja de tierra seca se extiende por el continente africano desde Senegal, en el oeste, hasta Sudán, en el este. El Sahel dispone de poca tierra para la agricultura, ya que su suelo no es naturalmente fértil y hay pocas precipitaciones durante la mayor parte del año. La vegetación natural del Sahel es una mezcla de pastizales de baja altura, acacias resistentes a la sequía, baobabs y otros pequeños arbustos.</w:t>
      </w:r>
    </w:p>
    <w:p w14:paraId="351F6234" w14:textId="4E5A2A13" w:rsidR="00BD63F2" w:rsidRPr="0090177D" w:rsidRDefault="00EB6B34" w:rsidP="00E61B71">
      <w:pPr>
        <w:spacing w:before="240"/>
        <w:jc w:val="both"/>
        <w:rPr>
          <w:rFonts w:ascii="Calibri" w:eastAsia="Calibri" w:hAnsi="Calibri" w:cs="Calibri"/>
          <w:szCs w:val="24"/>
          <w:lang w:val="es-US"/>
        </w:rPr>
      </w:pPr>
      <w:r>
        <w:rPr>
          <w:rFonts w:ascii="Calibri" w:eastAsia="Calibri" w:hAnsi="Calibri" w:cs="Calibri"/>
          <w:szCs w:val="24"/>
          <w:lang w:val="es"/>
        </w:rPr>
        <w:t>En los últimos años, el Sahel ha experimentado una desertificación. La desertificación es un proceso por el cual la tierra productiva se convierte en desierto, lo que ocurre cuando la tierra se vuelve más seca de manera progresiva hasta que la vegetación ya no puede crecer. Los científicos consideran que esta es una forma avanzada de degradación de la tierra en la que los suelos se ven desprovistos de sus nutrientes. Esto ocurre principalmente como resultado de la actividad humana y los climas cálidos y secos, que dificultan la recuperación de la tierra.</w:t>
      </w:r>
    </w:p>
    <w:p w14:paraId="5E1B28FE" w14:textId="77777777" w:rsidR="002E6AB5" w:rsidRPr="0090177D" w:rsidRDefault="00866F3B" w:rsidP="00E61B71">
      <w:pPr>
        <w:spacing w:before="240"/>
        <w:jc w:val="both"/>
        <w:rPr>
          <w:rFonts w:ascii="Calibri" w:eastAsia="Calibri" w:hAnsi="Calibri" w:cs="Calibri"/>
          <w:szCs w:val="24"/>
          <w:lang w:val="es-US"/>
        </w:rPr>
      </w:pPr>
      <w:r>
        <w:rPr>
          <w:rFonts w:ascii="Calibri" w:eastAsia="Calibri" w:hAnsi="Calibri" w:cs="Calibri"/>
          <w:szCs w:val="24"/>
          <w:lang w:val="es"/>
        </w:rPr>
        <w:t xml:space="preserve">Tanto la mano del hombre como las fuerzas naturales pueden causar y agravar la desertificación. </w:t>
      </w:r>
    </w:p>
    <w:p w14:paraId="66C6321D" w14:textId="69FF9826" w:rsidR="00EB6B34" w:rsidRPr="0090177D" w:rsidRDefault="00EB6B34" w:rsidP="00E61B71">
      <w:pPr>
        <w:spacing w:before="240"/>
        <w:jc w:val="both"/>
        <w:rPr>
          <w:rFonts w:ascii="Calibri" w:eastAsia="Calibri" w:hAnsi="Calibri" w:cs="Calibri"/>
          <w:szCs w:val="24"/>
          <w:lang w:val="es-US"/>
        </w:rPr>
      </w:pPr>
      <w:r>
        <w:rPr>
          <w:rFonts w:ascii="Calibri" w:eastAsia="Calibri" w:hAnsi="Calibri" w:cs="Calibri"/>
          <w:szCs w:val="24"/>
          <w:lang w:val="es"/>
        </w:rPr>
        <w:t>El Sahel sufre a menudo periodos de sequía que se producen de forma natural, esto es, periodos prolongados de tiempo con poca o ninguna lluvia. Algunos científicos afirman que estas sequías se ven agravadas por el cambio climático, que alarga las sequías que se producen de forma natural al alterar las temperaturas y los patrones de precipitaciones globales. Estas sequías prolongadas pueden convertir zonas de tierras naturalmente áridas y de bajo rendimiento en áreas completamente inadecuadas para la vegetación natural o sembrada por el hombre. En otras palabras, una sequía prolongada dificulta, o hasta imposibilita, el crecimiento de la vegetación natural o de los cultivos. Para colmo de males, sin las raíces de las plantas, que mantienen la capa superficial del suelo seco en su lugar, los vientos del desierto arrastran el suelo y convierten gradualmente las tierras marginales (es decir, las tierras con poco rendimiento agrícola) en desiertos.</w:t>
      </w:r>
    </w:p>
    <w:p w14:paraId="5521A8F0" w14:textId="54287662" w:rsidR="00EB6B34" w:rsidRPr="0090177D" w:rsidRDefault="00EB6B34" w:rsidP="00E61B71">
      <w:pPr>
        <w:spacing w:before="240"/>
        <w:jc w:val="both"/>
        <w:rPr>
          <w:rFonts w:ascii="Calibri" w:eastAsia="Calibri" w:hAnsi="Calibri" w:cs="Calibri"/>
          <w:szCs w:val="24"/>
          <w:lang w:val="es-US"/>
        </w:rPr>
      </w:pPr>
      <w:r>
        <w:rPr>
          <w:rFonts w:ascii="Calibri" w:eastAsia="Calibri" w:hAnsi="Calibri" w:cs="Calibri"/>
          <w:szCs w:val="24"/>
          <w:lang w:val="es"/>
        </w:rPr>
        <w:t>Aunque el clima puede tener parte de culpa en la desertificación del Sahel, la actividad humana también ha contribuido. La mayoría de los habitantes del Sahel han trabajado tradicionalmente como agricultores o pastores. Sin embargo, hoy en día algunos agricultores plantan cultivos comerciales como el cacahuete, que desgastan el suelo más rápidamente que los cultivos tradicionales más adecuados para el clima seco del Sahel. Otros agricultores, en un esfuerzo por cultivar suficientes alimentos para abastecer a una población creciente, ya no rotan sus cultivos ni dejan que sus campos tengan tiempo para reponer sus nutrientes. Una vez que se agota la humedad y los nutrientes del suelo, este es susceptible de ser arrastrado por el viento antes de que pueda recuperarse.</w:t>
      </w:r>
    </w:p>
    <w:p w14:paraId="4219C0AA" w14:textId="6F7C3D22" w:rsidR="00EB6B34" w:rsidRPr="0090177D" w:rsidRDefault="00EB6B34" w:rsidP="00E61B71">
      <w:pPr>
        <w:spacing w:before="240"/>
        <w:jc w:val="both"/>
        <w:rPr>
          <w:rFonts w:ascii="Calibri" w:eastAsia="Calibri" w:hAnsi="Calibri" w:cs="Calibri"/>
          <w:szCs w:val="24"/>
          <w:lang w:val="es-US"/>
        </w:rPr>
      </w:pPr>
      <w:r>
        <w:rPr>
          <w:rFonts w:ascii="Calibri" w:eastAsia="Calibri" w:hAnsi="Calibri" w:cs="Calibri"/>
          <w:szCs w:val="24"/>
          <w:lang w:val="es"/>
        </w:rPr>
        <w:lastRenderedPageBreak/>
        <w:t>Asimismo, los pastores del Sahel han aumentado el tamaño de sus rebaños para poder vender sus animales. El resultado es que muchos más animales de lo habitual pastan en una cantidad limitada de tierra. Este sobrepastoreo provoca una pérdida de vegetación, ya que cuando los rebaños de animales se comen toda la hierba de un terreno, el suelo subyacente queda vulnerable y es incapaz de volver a crecer con suficiente rapidez para satisfacer la demanda de pastoreo del ganado.</w:t>
      </w:r>
    </w:p>
    <w:p w14:paraId="3B718BE7" w14:textId="0287B74F" w:rsidR="00A117F3" w:rsidRPr="0090177D" w:rsidRDefault="00A117F3" w:rsidP="00E61B71">
      <w:pPr>
        <w:spacing w:before="240"/>
        <w:jc w:val="both"/>
        <w:rPr>
          <w:rFonts w:ascii="Calibri" w:eastAsia="Calibri" w:hAnsi="Calibri" w:cs="Calibri"/>
          <w:szCs w:val="24"/>
          <w:lang w:val="es-US"/>
        </w:rPr>
      </w:pPr>
      <w:r>
        <w:rPr>
          <w:rFonts w:ascii="Calibri" w:eastAsia="Calibri" w:hAnsi="Calibri" w:cs="Calibri"/>
          <w:szCs w:val="24"/>
          <w:lang w:val="es"/>
        </w:rPr>
        <w:t>La deforestación es otro factor que contribuye a la desertificación. Los que viven en la región del Sahel cortan los árboles para usarlos como leña y los talan para dar espacio a más tierras de cultivo. Una vez que los árboles desaparecen, el suelo deja de estar protegido por el dosel arbóreo. Como resultado, el suelo es vulnerable al calor directo del sol y a la lluvia directa, y acaba convirtiéndose en polvo. Sin las raíces de los árboles y otra vegetación, el polvo es arrastrado por el viento.</w:t>
      </w:r>
    </w:p>
    <w:p w14:paraId="49D9D009" w14:textId="0CC0521C" w:rsidR="00EB6B34" w:rsidRPr="0090177D" w:rsidRDefault="00EB6B34" w:rsidP="00E61B71">
      <w:pPr>
        <w:spacing w:before="240"/>
        <w:jc w:val="both"/>
        <w:rPr>
          <w:rFonts w:ascii="Calibri" w:eastAsia="Calibri" w:hAnsi="Calibri" w:cs="Calibri"/>
          <w:b/>
          <w:szCs w:val="24"/>
          <w:lang w:val="es-US"/>
        </w:rPr>
      </w:pPr>
      <w:r>
        <w:rPr>
          <w:rFonts w:ascii="Calibri" w:eastAsia="Calibri" w:hAnsi="Calibri" w:cs="Calibri"/>
          <w:szCs w:val="24"/>
          <w:lang w:val="es"/>
        </w:rPr>
        <w:t>Como resultado de estos problemas, el agua se ha vuelto escasa para las personas, los animales y las plantas de la región. Sin agua ni tierras productivas, los agricultores y pastores no pueden mantener sus medios de vida tradicionales. Como muchos carecen de formación para realizar otro tipo de trabajo, se enfrentan a la pobreza. A muchos no les queda más remedio que emigrar a otro lugar para sobrevivir.</w:t>
      </w:r>
    </w:p>
    <w:p w14:paraId="63A9C85A" w14:textId="491AA216" w:rsidR="009D6E8D" w:rsidRPr="0090177D" w:rsidRDefault="009D6E8D" w:rsidP="00EB6B34">
      <w:pPr>
        <w:rPr>
          <w:lang w:val="es-US"/>
        </w:rPr>
      </w:pPr>
    </w:p>
    <w:p w14:paraId="1DC8FC63" w14:textId="42872600" w:rsidR="00EB7156" w:rsidRPr="0090177D" w:rsidRDefault="00EB7156" w:rsidP="00EB7156">
      <w:pPr>
        <w:pStyle w:val="BodyText"/>
        <w:rPr>
          <w:lang w:val="es-US"/>
        </w:rPr>
      </w:pPr>
    </w:p>
    <w:p w14:paraId="55C9A524" w14:textId="33D1396F" w:rsidR="00EB7156" w:rsidRPr="0090177D" w:rsidRDefault="00EB7156" w:rsidP="00EB7156">
      <w:pPr>
        <w:pStyle w:val="BodyText"/>
        <w:rPr>
          <w:lang w:val="es-US"/>
        </w:rPr>
      </w:pPr>
    </w:p>
    <w:p w14:paraId="7C952B9D" w14:textId="74273DDD" w:rsidR="00EB7156" w:rsidRPr="0090177D" w:rsidRDefault="00EB7156" w:rsidP="00EB7156">
      <w:pPr>
        <w:pStyle w:val="BodyText"/>
        <w:rPr>
          <w:lang w:val="es-US"/>
        </w:rPr>
      </w:pPr>
    </w:p>
    <w:p w14:paraId="207D3941" w14:textId="7F0A30BA" w:rsidR="00EB7156" w:rsidRPr="0090177D" w:rsidRDefault="00EB7156" w:rsidP="00EB7156">
      <w:pPr>
        <w:pStyle w:val="BodyText"/>
        <w:rPr>
          <w:lang w:val="es-US"/>
        </w:rPr>
      </w:pPr>
    </w:p>
    <w:p w14:paraId="44FC3FAA" w14:textId="1C232C69" w:rsidR="00EB7156" w:rsidRPr="0090177D" w:rsidRDefault="00EB7156" w:rsidP="00EB7156">
      <w:pPr>
        <w:pStyle w:val="BodyText"/>
        <w:rPr>
          <w:lang w:val="es-US"/>
        </w:rPr>
      </w:pPr>
    </w:p>
    <w:p w14:paraId="4CC684E4" w14:textId="76E50C85" w:rsidR="00EB7156" w:rsidRPr="0090177D" w:rsidRDefault="00EB7156" w:rsidP="00EB7156">
      <w:pPr>
        <w:pStyle w:val="BodyText"/>
        <w:rPr>
          <w:lang w:val="es-US"/>
        </w:rPr>
      </w:pPr>
    </w:p>
    <w:p w14:paraId="6DDE948B" w14:textId="77777777" w:rsidR="00EB7156" w:rsidRPr="0090177D" w:rsidRDefault="00EB7156" w:rsidP="00EB7156">
      <w:pPr>
        <w:pStyle w:val="BodyText"/>
        <w:rPr>
          <w:lang w:val="es-US"/>
        </w:rPr>
      </w:pPr>
    </w:p>
    <w:p w14:paraId="1CBF48EA" w14:textId="77777777" w:rsidR="00C74372" w:rsidRPr="004F011D" w:rsidRDefault="00C74372" w:rsidP="00C74372">
      <w:pPr>
        <w:pStyle w:val="Citation"/>
        <w:rPr>
          <w:b/>
          <w:bCs/>
          <w:color w:val="3E5C61" w:themeColor="accent6"/>
        </w:rPr>
      </w:pPr>
      <w:r w:rsidRPr="004F011D">
        <w:rPr>
          <w:b/>
          <w:bCs/>
          <w:color w:val="3E5C61" w:themeColor="accent6"/>
        </w:rPr>
        <w:t>Sources:</w:t>
      </w:r>
    </w:p>
    <w:p w14:paraId="715CEBF5" w14:textId="77777777" w:rsidR="00C74372" w:rsidRPr="0039469B" w:rsidRDefault="00C74372" w:rsidP="00C74372">
      <w:pPr>
        <w:pStyle w:val="Citation"/>
        <w:rPr>
          <w:i w:val="0"/>
          <w:iCs/>
          <w:color w:val="3E5C61" w:themeColor="accent6"/>
        </w:rPr>
      </w:pPr>
      <w:r w:rsidRPr="0039469B">
        <w:rPr>
          <w:i w:val="0"/>
          <w:iCs/>
          <w:color w:val="3E5C61" w:themeColor="accent6"/>
        </w:rPr>
        <w:t xml:space="preserve">Boehm, R. G. (2005). </w:t>
      </w:r>
      <w:r w:rsidRPr="0039469B">
        <w:rPr>
          <w:color w:val="3E5C61" w:themeColor="accent6"/>
        </w:rPr>
        <w:t>Glencoe world geography.</w:t>
      </w:r>
      <w:r w:rsidRPr="0039469B">
        <w:rPr>
          <w:i w:val="0"/>
          <w:iCs/>
          <w:color w:val="3E5C61" w:themeColor="accent6"/>
        </w:rPr>
        <w:t xml:space="preserve"> New York: Glencoe/McGraw-Hill.</w:t>
      </w:r>
    </w:p>
    <w:p w14:paraId="14D503A1" w14:textId="77777777" w:rsidR="00C74372" w:rsidRPr="0039469B" w:rsidRDefault="00C74372" w:rsidP="00C74372">
      <w:pPr>
        <w:pStyle w:val="Citation"/>
        <w:rPr>
          <w:i w:val="0"/>
          <w:iCs/>
          <w:color w:val="3E5C61" w:themeColor="accent6"/>
        </w:rPr>
      </w:pPr>
      <w:r w:rsidRPr="0039469B">
        <w:rPr>
          <w:i w:val="0"/>
          <w:iCs/>
          <w:color w:val="3E5C61" w:themeColor="accent6"/>
        </w:rPr>
        <w:t>Hart, D. (2012).</w:t>
      </w:r>
      <w:r>
        <w:rPr>
          <w:i w:val="0"/>
          <w:iCs/>
          <w:color w:val="3E5C61" w:themeColor="accent6"/>
        </w:rPr>
        <w:t xml:space="preserve"> </w:t>
      </w:r>
      <w:r w:rsidRPr="0039469B">
        <w:rPr>
          <w:color w:val="3E5C61" w:themeColor="accent6"/>
        </w:rPr>
        <w:t>Geography alive! Regions and people.</w:t>
      </w:r>
      <w:r w:rsidRPr="0039469B">
        <w:rPr>
          <w:i w:val="0"/>
          <w:iCs/>
          <w:color w:val="3E5C61" w:themeColor="accent6"/>
        </w:rPr>
        <w:t xml:space="preserve"> Palo Alto, CA: Teachers Curriculum Institute. </w:t>
      </w:r>
      <w:hyperlink r:id="rId8" w:history="1">
        <w:r w:rsidRPr="00F72130">
          <w:rPr>
            <w:rStyle w:val="Hyperlink"/>
            <w:i w:val="0"/>
            <w:iCs/>
          </w:rPr>
          <w:t>https://www.campbell.k12.ky.us/userfiles/1259/Classes/39564/Sahara-GeoAlive%2020.pdf</w:t>
        </w:r>
      </w:hyperlink>
    </w:p>
    <w:p w14:paraId="4AF8E113" w14:textId="77777777" w:rsidR="00C74372" w:rsidRDefault="00C74372" w:rsidP="00C74372">
      <w:pPr>
        <w:pStyle w:val="Citation"/>
        <w:rPr>
          <w:i w:val="0"/>
          <w:iCs/>
          <w:color w:val="3E5C61" w:themeColor="accent6"/>
          <w:shd w:val="clear" w:color="auto" w:fill="FFFFFF"/>
        </w:rPr>
      </w:pPr>
      <w:r w:rsidRPr="0039469B">
        <w:rPr>
          <w:i w:val="0"/>
          <w:iCs/>
          <w:color w:val="3E5C61" w:themeColor="accent6"/>
          <w:shd w:val="clear" w:color="auto" w:fill="FFFFFF"/>
        </w:rPr>
        <w:t xml:space="preserve">Foster, K. (2018, October 30). </w:t>
      </w:r>
      <w:r w:rsidRPr="004F011D">
        <w:rPr>
          <w:color w:val="3E5C61" w:themeColor="accent6"/>
          <w:shd w:val="clear" w:color="auto" w:fill="FFFFFF"/>
        </w:rPr>
        <w:t>Wall or mosaic? Fighting desertification in the Sahel</w:t>
      </w:r>
      <w:r w:rsidRPr="0039469B">
        <w:rPr>
          <w:i w:val="0"/>
          <w:iCs/>
          <w:color w:val="3E5C61" w:themeColor="accent6"/>
          <w:shd w:val="clear" w:color="auto" w:fill="FFFFFF"/>
        </w:rPr>
        <w:t>.</w:t>
      </w:r>
      <w:r>
        <w:rPr>
          <w:i w:val="0"/>
          <w:iCs/>
          <w:color w:val="3E5C61" w:themeColor="accent6"/>
          <w:shd w:val="clear" w:color="auto" w:fill="FFFFFF"/>
        </w:rPr>
        <w:t xml:space="preserve"> </w:t>
      </w:r>
      <w:r w:rsidRPr="0039469B">
        <w:rPr>
          <w:color w:val="3E5C61" w:themeColor="accent6"/>
        </w:rPr>
        <w:t>Harvard Political Review</w:t>
      </w:r>
      <w:r w:rsidRPr="0039469B">
        <w:rPr>
          <w:color w:val="3E5C61" w:themeColor="accent6"/>
          <w:shd w:val="clear" w:color="auto" w:fill="FFFFFF"/>
        </w:rPr>
        <w:t>.</w:t>
      </w:r>
      <w:r w:rsidRPr="0039469B">
        <w:rPr>
          <w:i w:val="0"/>
          <w:iCs/>
          <w:color w:val="3E5C61" w:themeColor="accent6"/>
          <w:shd w:val="clear" w:color="auto" w:fill="FFFFFF"/>
        </w:rPr>
        <w:t xml:space="preserve"> Retrieved from </w:t>
      </w:r>
      <w:hyperlink r:id="rId9" w:history="1">
        <w:r w:rsidRPr="00F72130">
          <w:rPr>
            <w:rStyle w:val="Hyperlink"/>
            <w:i w:val="0"/>
            <w:iCs/>
            <w:shd w:val="clear" w:color="auto" w:fill="FFFFFF"/>
          </w:rPr>
          <w:t>https://harvardpolitics.com/world/wall-or-mosaic-fighting-desertification-in-the-sahel/</w:t>
        </w:r>
      </w:hyperlink>
    </w:p>
    <w:p w14:paraId="05F0509C" w14:textId="22328DF2" w:rsidR="00811562" w:rsidRPr="0090177D" w:rsidRDefault="00C74372" w:rsidP="00F2783E">
      <w:pPr>
        <w:pStyle w:val="Citation"/>
        <w:rPr>
          <w:i w:val="0"/>
          <w:iCs/>
          <w:lang w:val="es-US"/>
        </w:rPr>
      </w:pPr>
      <w:r w:rsidRPr="0039469B">
        <w:rPr>
          <w:iCs/>
          <w:color w:val="3E5C61" w:themeColor="accent6"/>
          <w:shd w:val="clear" w:color="auto" w:fill="FFFFFF"/>
        </w:rPr>
        <w:t xml:space="preserve">Thelwell, K. (2019, May 30). </w:t>
      </w:r>
      <w:r w:rsidRPr="004F011D">
        <w:rPr>
          <w:i w:val="0"/>
          <w:color w:val="3E5C61" w:themeColor="accent6"/>
          <w:shd w:val="clear" w:color="auto" w:fill="FFFFFF"/>
        </w:rPr>
        <w:t>What are the causes of desertification?</w:t>
      </w:r>
      <w:r w:rsidRPr="0039469B">
        <w:rPr>
          <w:iCs/>
          <w:color w:val="3E5C61" w:themeColor="accent6"/>
          <w:shd w:val="clear" w:color="auto" w:fill="FFFFFF"/>
        </w:rPr>
        <w:t xml:space="preserve"> </w:t>
      </w:r>
      <w:hyperlink r:id="rId10" w:history="1">
        <w:r w:rsidRPr="00F72130">
          <w:rPr>
            <w:rStyle w:val="Hyperlink"/>
            <w:iCs/>
            <w:shd w:val="clear" w:color="auto" w:fill="FFFFFF"/>
          </w:rPr>
          <w:t>https://borgenproject.org/what-are-the-causes-of-desertification/</w:t>
        </w:r>
      </w:hyperlink>
    </w:p>
    <w:sectPr w:rsidR="00811562" w:rsidRPr="0090177D">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0ABD" w14:textId="77777777" w:rsidR="00251C9C" w:rsidRDefault="00251C9C" w:rsidP="00293785">
      <w:pPr>
        <w:spacing w:after="0" w:line="240" w:lineRule="auto"/>
      </w:pPr>
      <w:r>
        <w:separator/>
      </w:r>
    </w:p>
  </w:endnote>
  <w:endnote w:type="continuationSeparator" w:id="0">
    <w:p w14:paraId="4D260D10" w14:textId="77777777" w:rsidR="00251C9C" w:rsidRDefault="00251C9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6859"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9ADD68C" wp14:editId="6D0C652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258358E" w14:textId="34921628" w:rsidR="00293785" w:rsidRDefault="00000000" w:rsidP="00D106FF">
                          <w:pPr>
                            <w:pStyle w:val="LessonFooter"/>
                          </w:pPr>
                          <w:sdt>
                            <w:sdtPr>
                              <w:alias w:val="Title"/>
                              <w:tag w:val=""/>
                              <w:id w:val="1281607793"/>
                              <w:placeholder>
                                <w:docPart w:val="F3685D117A094ECA9CEF86459A8D7486"/>
                              </w:placeholder>
                              <w:dataBinding w:prefixMappings="xmlns:ns0='http://purl.org/dc/elements/1.1/' xmlns:ns1='http://schemas.openxmlformats.org/package/2006/metadata/core-properties' " w:xpath="/ns1:coreProperties[1]/ns0:title[1]" w:storeItemID="{6C3C8BC8-F283-45AE-878A-BAB7291924A1}"/>
                              <w:text/>
                            </w:sdtPr>
                            <w:sdtContent>
                              <w:r w:rsidR="001F055B" w:rsidRPr="0090177D">
                                <w:rPr>
                                  <w:bCs/>
                                </w:rPr>
                                <w:t>Africa</w:t>
                              </w:r>
                              <w:r w:rsidR="00C74372">
                                <w:rPr>
                                  <w:bCs/>
                                </w:rPr>
                                <w:t xml:space="preserve">’s </w:t>
                              </w:r>
                              <w:r w:rsidR="001F055B" w:rsidRPr="0090177D">
                                <w:rPr>
                                  <w:bCs/>
                                </w:rPr>
                                <w:t>Great Green Wall</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DD68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258358E" w14:textId="34921628" w:rsidR="00293785" w:rsidRDefault="00C74372" w:rsidP="00D106FF">
                    <w:pPr>
                      <w:pStyle w:val="LessonFooter"/>
                    </w:pPr>
                    <w:sdt>
                      <w:sdtPr>
                        <w:alias w:val="Title"/>
                        <w:tag w:val=""/>
                        <w:id w:val="1281607793"/>
                        <w:placeholder>
                          <w:docPart w:val="F3685D117A094ECA9CEF86459A8D7486"/>
                        </w:placeholder>
                        <w:dataBinding w:prefixMappings="xmlns:ns0='http://purl.org/dc/elements/1.1/' xmlns:ns1='http://schemas.openxmlformats.org/package/2006/metadata/core-properties' " w:xpath="/ns1:coreProperties[1]/ns0:title[1]" w:storeItemID="{6C3C8BC8-F283-45AE-878A-BAB7291924A1}"/>
                        <w:text/>
                      </w:sdtPr>
                      <w:sdtEndPr/>
                      <w:sdtContent>
                        <w:r w:rsidR="001F055B" w:rsidRPr="0090177D">
                          <w:rPr>
                            <w:bCs/>
                          </w:rPr>
                          <w:t>Africa</w:t>
                        </w:r>
                        <w:r>
                          <w:rPr>
                            <w:bCs/>
                          </w:rPr>
                          <w:t xml:space="preserve">’s </w:t>
                        </w:r>
                        <w:r w:rsidR="001F055B" w:rsidRPr="0090177D">
                          <w:rPr>
                            <w:bCs/>
                          </w:rPr>
                          <w:t>Great Green Wall</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F90FD55" wp14:editId="4853650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352F" w14:textId="77777777" w:rsidR="00251C9C" w:rsidRDefault="00251C9C" w:rsidP="00293785">
      <w:pPr>
        <w:spacing w:after="0" w:line="240" w:lineRule="auto"/>
      </w:pPr>
      <w:r>
        <w:separator/>
      </w:r>
    </w:p>
  </w:footnote>
  <w:footnote w:type="continuationSeparator" w:id="0">
    <w:p w14:paraId="5ED6114B" w14:textId="77777777" w:rsidR="00251C9C" w:rsidRDefault="00251C9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035266">
    <w:abstractNumId w:val="6"/>
  </w:num>
  <w:num w:numId="2" w16cid:durableId="1652445295">
    <w:abstractNumId w:val="7"/>
  </w:num>
  <w:num w:numId="3" w16cid:durableId="66847771">
    <w:abstractNumId w:val="0"/>
  </w:num>
  <w:num w:numId="4" w16cid:durableId="994602519">
    <w:abstractNumId w:val="2"/>
  </w:num>
  <w:num w:numId="5" w16cid:durableId="1001081072">
    <w:abstractNumId w:val="3"/>
  </w:num>
  <w:num w:numId="6" w16cid:durableId="1162502579">
    <w:abstractNumId w:val="5"/>
  </w:num>
  <w:num w:numId="7" w16cid:durableId="1132747693">
    <w:abstractNumId w:val="4"/>
  </w:num>
  <w:num w:numId="8" w16cid:durableId="1997145723">
    <w:abstractNumId w:val="8"/>
  </w:num>
  <w:num w:numId="9" w16cid:durableId="1947619387">
    <w:abstractNumId w:val="9"/>
  </w:num>
  <w:num w:numId="10" w16cid:durableId="992946969">
    <w:abstractNumId w:val="10"/>
  </w:num>
  <w:num w:numId="11" w16cid:durableId="207501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34"/>
    <w:rsid w:val="0004006F"/>
    <w:rsid w:val="00053775"/>
    <w:rsid w:val="0005619A"/>
    <w:rsid w:val="00086208"/>
    <w:rsid w:val="000C0391"/>
    <w:rsid w:val="0010378C"/>
    <w:rsid w:val="0011259B"/>
    <w:rsid w:val="00116FDD"/>
    <w:rsid w:val="00125621"/>
    <w:rsid w:val="001D0BBF"/>
    <w:rsid w:val="001E1F85"/>
    <w:rsid w:val="001F055B"/>
    <w:rsid w:val="001F125D"/>
    <w:rsid w:val="002345CC"/>
    <w:rsid w:val="00251C9C"/>
    <w:rsid w:val="00293785"/>
    <w:rsid w:val="002C0879"/>
    <w:rsid w:val="002C37B4"/>
    <w:rsid w:val="002E6AB5"/>
    <w:rsid w:val="0036040A"/>
    <w:rsid w:val="00396A63"/>
    <w:rsid w:val="00446C13"/>
    <w:rsid w:val="004F2BBD"/>
    <w:rsid w:val="005078B4"/>
    <w:rsid w:val="0053328A"/>
    <w:rsid w:val="00540FC6"/>
    <w:rsid w:val="00544CE7"/>
    <w:rsid w:val="005511B6"/>
    <w:rsid w:val="00553C98"/>
    <w:rsid w:val="005D004B"/>
    <w:rsid w:val="00645D7F"/>
    <w:rsid w:val="00656940"/>
    <w:rsid w:val="00665274"/>
    <w:rsid w:val="00666C03"/>
    <w:rsid w:val="00686DAB"/>
    <w:rsid w:val="006E1542"/>
    <w:rsid w:val="00721EA4"/>
    <w:rsid w:val="00767196"/>
    <w:rsid w:val="007B055F"/>
    <w:rsid w:val="007E6F1D"/>
    <w:rsid w:val="00811562"/>
    <w:rsid w:val="00866F3B"/>
    <w:rsid w:val="00880013"/>
    <w:rsid w:val="008920A4"/>
    <w:rsid w:val="008C2D7E"/>
    <w:rsid w:val="008F5386"/>
    <w:rsid w:val="0090177D"/>
    <w:rsid w:val="00913172"/>
    <w:rsid w:val="00981E19"/>
    <w:rsid w:val="009B52E4"/>
    <w:rsid w:val="009D6E8D"/>
    <w:rsid w:val="00A03A15"/>
    <w:rsid w:val="00A101E8"/>
    <w:rsid w:val="00A117F3"/>
    <w:rsid w:val="00AC349E"/>
    <w:rsid w:val="00B92DBF"/>
    <w:rsid w:val="00BD119F"/>
    <w:rsid w:val="00BD63F2"/>
    <w:rsid w:val="00C73EA1"/>
    <w:rsid w:val="00C74372"/>
    <w:rsid w:val="00C8524A"/>
    <w:rsid w:val="00CC4F77"/>
    <w:rsid w:val="00CD3CF6"/>
    <w:rsid w:val="00CE336D"/>
    <w:rsid w:val="00D106FF"/>
    <w:rsid w:val="00D46A76"/>
    <w:rsid w:val="00D626EB"/>
    <w:rsid w:val="00DC7A6D"/>
    <w:rsid w:val="00E44188"/>
    <w:rsid w:val="00E47A86"/>
    <w:rsid w:val="00E61B71"/>
    <w:rsid w:val="00EB6B34"/>
    <w:rsid w:val="00EB7156"/>
    <w:rsid w:val="00ED24C8"/>
    <w:rsid w:val="00F2059A"/>
    <w:rsid w:val="00F2783E"/>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47A7"/>
  <w15:docId w15:val="{D9D353CF-F0CC-4709-BE83-1629DEDE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F2BBD"/>
    <w:pPr>
      <w:tabs>
        <w:tab w:val="left" w:pos="1980"/>
      </w:tabs>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4F2BB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F2783E"/>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45017782">
      <w:bodyDiv w:val="1"/>
      <w:marLeft w:val="0"/>
      <w:marRight w:val="0"/>
      <w:marTop w:val="0"/>
      <w:marBottom w:val="0"/>
      <w:divBdr>
        <w:top w:val="none" w:sz="0" w:space="0" w:color="auto"/>
        <w:left w:val="none" w:sz="0" w:space="0" w:color="auto"/>
        <w:bottom w:val="none" w:sz="0" w:space="0" w:color="auto"/>
        <w:right w:val="none" w:sz="0" w:space="0" w:color="auto"/>
      </w:divBdr>
    </w:div>
    <w:div w:id="187211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mpbell.k12.ky.us/userfiles/1259/Classes/39564/Sahara-GeoAlive%2020.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orgenproject.org/what-are-the-causes-of-desertification/" TargetMode="External"/><Relationship Id="rId4" Type="http://schemas.openxmlformats.org/officeDocument/2006/relationships/settings" Target="settings.xml"/><Relationship Id="rId9" Type="http://schemas.openxmlformats.org/officeDocument/2006/relationships/hyperlink" Target="https://harvardpolitics.com/world/wall-or-mosaic-fighting-desertification-in-the-sah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85D117A094ECA9CEF86459A8D7486"/>
        <w:category>
          <w:name w:val="General"/>
          <w:gallery w:val="placeholder"/>
        </w:category>
        <w:types>
          <w:type w:val="bbPlcHdr"/>
        </w:types>
        <w:behaviors>
          <w:behavior w:val="content"/>
        </w:behaviors>
        <w:guid w:val="{9402E276-EAA2-436E-AC83-D04841AB5DF8}"/>
      </w:docPartPr>
      <w:docPartBody>
        <w:p w:rsidR="00DE5E8C" w:rsidRDefault="00DE5E8C">
          <w:pPr>
            <w:pStyle w:val="F3685D117A094ECA9CEF86459A8D748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8C"/>
    <w:rsid w:val="00222F34"/>
    <w:rsid w:val="002A446A"/>
    <w:rsid w:val="00767196"/>
    <w:rsid w:val="00C11CE7"/>
    <w:rsid w:val="00DE5E8C"/>
    <w:rsid w:val="00E4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3685D117A094ECA9CEF86459A8D7486">
    <w:name w:val="F3685D117A094ECA9CEF86459A8D7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331D-B955-0F45-A819-66A09030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Desertification in the Sahel</vt:lpstr>
    </vt:vector>
  </TitlesOfParts>
  <Manager/>
  <Company/>
  <LinksUpToDate>false</LinksUpToDate>
  <CharactersWithSpaces>5229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Africa’s Great Green Wall</dc:title>
  <dc:subject/>
  <dc:creator>k20center@ou.edu</dc:creator>
  <cp:keywords/>
  <dc:description/>
  <cp:lastModifiedBy>McLeod Porter, Delma</cp:lastModifiedBy>
  <cp:revision>2</cp:revision>
  <cp:lastPrinted>2019-12-05T14:34:00Z</cp:lastPrinted>
  <dcterms:created xsi:type="dcterms:W3CDTF">2025-08-06T13:52:00Z</dcterms:created>
  <dcterms:modified xsi:type="dcterms:W3CDTF">2025-08-06T13:52:00Z</dcterms:modified>
  <cp:category/>
</cp:coreProperties>
</file>