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6ABB49" w14:textId="77777777" w:rsidR="00E15B7F" w:rsidRDefault="00AD47E2">
      <w:pPr>
        <w:pStyle w:val="Title"/>
      </w:pPr>
      <w:r>
        <w:t>AUSTEN’S WORDS</w:t>
      </w:r>
    </w:p>
    <w:tbl>
      <w:tblPr>
        <w:tblStyle w:val="a0"/>
        <w:tblW w:w="9778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7513"/>
      </w:tblGrid>
      <w:tr w:rsidR="00E15B7F" w14:paraId="3BB6DF88" w14:textId="77777777">
        <w:trPr>
          <w:trHeight w:val="520"/>
        </w:trPr>
        <w:tc>
          <w:tcPr>
            <w:tcW w:w="2265" w:type="dxa"/>
            <w:shd w:val="clear" w:color="auto" w:fill="3E5C61"/>
          </w:tcPr>
          <w:p w14:paraId="609FDEAC" w14:textId="77777777" w:rsidR="00E15B7F" w:rsidRDefault="00AD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Term</w:t>
            </w:r>
          </w:p>
        </w:tc>
        <w:tc>
          <w:tcPr>
            <w:tcW w:w="7513" w:type="dxa"/>
            <w:shd w:val="clear" w:color="auto" w:fill="3E5C61"/>
          </w:tcPr>
          <w:p w14:paraId="702E4FC3" w14:textId="77777777" w:rsidR="00E15B7F" w:rsidRDefault="00AD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Definition</w:t>
            </w:r>
          </w:p>
        </w:tc>
      </w:tr>
      <w:tr w:rsidR="00E15B7F" w14:paraId="53711E1A" w14:textId="77777777">
        <w:trPr>
          <w:trHeight w:val="554"/>
        </w:trPr>
        <w:tc>
          <w:tcPr>
            <w:tcW w:w="2265" w:type="dxa"/>
          </w:tcPr>
          <w:p w14:paraId="71AA2943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Patriarchy</w:t>
            </w:r>
          </w:p>
        </w:tc>
        <w:tc>
          <w:tcPr>
            <w:tcW w:w="7513" w:type="dxa"/>
          </w:tcPr>
          <w:p w14:paraId="27FDECC6" w14:textId="30FD8C13" w:rsidR="00E15B7F" w:rsidRDefault="00AD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organization </w:t>
            </w:r>
            <w:r w:rsidR="000C2651">
              <w:rPr>
                <w:sz w:val="22"/>
                <w:szCs w:val="22"/>
              </w:rPr>
              <w:t>is marked by the father's supremacy</w:t>
            </w:r>
            <w:r>
              <w:rPr>
                <w:sz w:val="22"/>
                <w:szCs w:val="22"/>
              </w:rPr>
              <w:t xml:space="preserve"> in the clan or family, the legal dependence of wives and children, and the reckoning of descent and inheritance in the male line.</w:t>
            </w:r>
          </w:p>
        </w:tc>
      </w:tr>
      <w:tr w:rsidR="00E15B7F" w14:paraId="423F4BEE" w14:textId="77777777">
        <w:trPr>
          <w:trHeight w:val="554"/>
        </w:trPr>
        <w:tc>
          <w:tcPr>
            <w:tcW w:w="2265" w:type="dxa"/>
          </w:tcPr>
          <w:p w14:paraId="359CB1CC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Matriarchy </w:t>
            </w:r>
          </w:p>
        </w:tc>
        <w:tc>
          <w:tcPr>
            <w:tcW w:w="7513" w:type="dxa"/>
          </w:tcPr>
          <w:p w14:paraId="575DBD98" w14:textId="77777777" w:rsidR="00E15B7F" w:rsidRDefault="00AD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system of social organization in which descent and inheritance are traced through the female line</w:t>
            </w:r>
          </w:p>
        </w:tc>
      </w:tr>
      <w:tr w:rsidR="00E15B7F" w14:paraId="24163AF7" w14:textId="77777777">
        <w:trPr>
          <w:trHeight w:val="566"/>
        </w:trPr>
        <w:tc>
          <w:tcPr>
            <w:tcW w:w="2265" w:type="dxa"/>
          </w:tcPr>
          <w:p w14:paraId="1150CFE4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Suffrage</w:t>
            </w:r>
          </w:p>
        </w:tc>
        <w:tc>
          <w:tcPr>
            <w:tcW w:w="7513" w:type="dxa"/>
          </w:tcPr>
          <w:p w14:paraId="64441CEA" w14:textId="77777777" w:rsidR="00E15B7F" w:rsidRDefault="00AD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right of voting</w:t>
            </w:r>
          </w:p>
        </w:tc>
      </w:tr>
      <w:tr w:rsidR="00E15B7F" w14:paraId="02FF3793" w14:textId="77777777">
        <w:trPr>
          <w:trHeight w:val="554"/>
        </w:trPr>
        <w:tc>
          <w:tcPr>
            <w:tcW w:w="2265" w:type="dxa"/>
          </w:tcPr>
          <w:p w14:paraId="03E0D62C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Feminism</w:t>
            </w:r>
          </w:p>
        </w:tc>
        <w:tc>
          <w:tcPr>
            <w:tcW w:w="7513" w:type="dxa"/>
          </w:tcPr>
          <w:p w14:paraId="6385118D" w14:textId="77777777" w:rsidR="00E15B7F" w:rsidRDefault="00AD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belief in and advocacy of the political, economic, and social equality of the sexes expressed especially through organized activity on behalf of women's rights and interests</w:t>
            </w:r>
          </w:p>
        </w:tc>
      </w:tr>
      <w:tr w:rsidR="00E15B7F" w14:paraId="2C5A74E4" w14:textId="77777777">
        <w:trPr>
          <w:trHeight w:val="554"/>
        </w:trPr>
        <w:tc>
          <w:tcPr>
            <w:tcW w:w="2265" w:type="dxa"/>
          </w:tcPr>
          <w:p w14:paraId="1403C4B8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 equity</w:t>
            </w:r>
          </w:p>
        </w:tc>
        <w:tc>
          <w:tcPr>
            <w:tcW w:w="7513" w:type="dxa"/>
          </w:tcPr>
          <w:p w14:paraId="6F9E70CE" w14:textId="09F3841B" w:rsidR="00E15B7F" w:rsidRDefault="00AD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provision of fairness and justice in the distribution of benefits and responsibilities between women, men</w:t>
            </w:r>
            <w:r w:rsidR="000C26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all genders.</w:t>
            </w:r>
          </w:p>
        </w:tc>
      </w:tr>
      <w:tr w:rsidR="00E15B7F" w14:paraId="2E7353D0" w14:textId="77777777">
        <w:trPr>
          <w:trHeight w:val="554"/>
        </w:trPr>
        <w:tc>
          <w:tcPr>
            <w:tcW w:w="2265" w:type="dxa"/>
          </w:tcPr>
          <w:p w14:paraId="25431197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 socialization</w:t>
            </w:r>
          </w:p>
        </w:tc>
        <w:tc>
          <w:tcPr>
            <w:tcW w:w="7513" w:type="dxa"/>
          </w:tcPr>
          <w:p w14:paraId="1906A1A1" w14:textId="77777777" w:rsidR="00E15B7F" w:rsidRDefault="00AD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 through which individuals learn the behaviors, expectations, and roles associated with their assigned gender within a society.</w:t>
            </w:r>
          </w:p>
        </w:tc>
      </w:tr>
      <w:tr w:rsidR="00E15B7F" w14:paraId="2297B022" w14:textId="77777777">
        <w:trPr>
          <w:trHeight w:val="566"/>
        </w:trPr>
        <w:tc>
          <w:tcPr>
            <w:tcW w:w="2265" w:type="dxa"/>
          </w:tcPr>
          <w:p w14:paraId="1963207E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Femininity</w:t>
            </w:r>
          </w:p>
        </w:tc>
        <w:tc>
          <w:tcPr>
            <w:tcW w:w="7513" w:type="dxa"/>
          </w:tcPr>
          <w:p w14:paraId="0AE231A8" w14:textId="77777777" w:rsidR="00E15B7F" w:rsidRDefault="00AD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quality, state, or degree of being feminine or womanly</w:t>
            </w:r>
          </w:p>
        </w:tc>
      </w:tr>
      <w:tr w:rsidR="00E15B7F" w14:paraId="1046263D" w14:textId="77777777">
        <w:trPr>
          <w:trHeight w:val="554"/>
        </w:trPr>
        <w:tc>
          <w:tcPr>
            <w:tcW w:w="2265" w:type="dxa"/>
          </w:tcPr>
          <w:p w14:paraId="304CC160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Masculinity</w:t>
            </w:r>
          </w:p>
        </w:tc>
        <w:tc>
          <w:tcPr>
            <w:tcW w:w="7513" w:type="dxa"/>
          </w:tcPr>
          <w:p w14:paraId="0BA33C1F" w14:textId="77777777" w:rsidR="00E15B7F" w:rsidRDefault="00AD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quality, state, or degree of being masculine or manly</w:t>
            </w:r>
          </w:p>
        </w:tc>
      </w:tr>
      <w:tr w:rsidR="00E15B7F" w14:paraId="59FCDF6C" w14:textId="77777777">
        <w:trPr>
          <w:trHeight w:val="554"/>
        </w:trPr>
        <w:tc>
          <w:tcPr>
            <w:tcW w:w="2265" w:type="dxa"/>
          </w:tcPr>
          <w:p w14:paraId="6E35B5BE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Entailment</w:t>
            </w:r>
          </w:p>
        </w:tc>
        <w:tc>
          <w:tcPr>
            <w:tcW w:w="7513" w:type="dxa"/>
          </w:tcPr>
          <w:p w14:paraId="1D8A3416" w14:textId="1C6FAAB4" w:rsidR="00E15B7F" w:rsidRDefault="00AD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act or an instance of restricting the inheritance of property to the owner's lineal descendants o</w:t>
            </w:r>
            <w:r w:rsidR="009E1EC9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 a particular class</w:t>
            </w:r>
            <w:r w:rsidR="009E1EC9">
              <w:rPr>
                <w:sz w:val="22"/>
                <w:szCs w:val="22"/>
              </w:rPr>
              <w:t xml:space="preserve"> or gender</w:t>
            </w:r>
          </w:p>
        </w:tc>
      </w:tr>
      <w:tr w:rsidR="00E15B7F" w14:paraId="13A281FF" w14:textId="77777777">
        <w:trPr>
          <w:trHeight w:val="566"/>
        </w:trPr>
        <w:tc>
          <w:tcPr>
            <w:tcW w:w="2265" w:type="dxa"/>
          </w:tcPr>
          <w:p w14:paraId="55140B40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Dowry</w:t>
            </w:r>
          </w:p>
        </w:tc>
        <w:tc>
          <w:tcPr>
            <w:tcW w:w="7513" w:type="dxa"/>
          </w:tcPr>
          <w:p w14:paraId="7D0067FE" w14:textId="77777777" w:rsidR="00E15B7F" w:rsidRDefault="00AD47E2">
            <w:pPr>
              <w:tabs>
                <w:tab w:val="left" w:pos="9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money, goods, or estate that a woman brings to her husband in marriage</w:t>
            </w:r>
          </w:p>
        </w:tc>
      </w:tr>
      <w:tr w:rsidR="00E15B7F" w14:paraId="21DB0A68" w14:textId="77777777">
        <w:trPr>
          <w:trHeight w:val="554"/>
        </w:trPr>
        <w:tc>
          <w:tcPr>
            <w:tcW w:w="2265" w:type="dxa"/>
          </w:tcPr>
          <w:p w14:paraId="5C61DDE4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Gentry</w:t>
            </w:r>
          </w:p>
        </w:tc>
        <w:tc>
          <w:tcPr>
            <w:tcW w:w="7513" w:type="dxa"/>
          </w:tcPr>
          <w:p w14:paraId="318A4DE5" w14:textId="77777777" w:rsidR="00E15B7F" w:rsidRDefault="00AD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upper or ruling class; the condition or rank of a gentleman</w:t>
            </w:r>
          </w:p>
        </w:tc>
      </w:tr>
      <w:tr w:rsidR="00E15B7F" w14:paraId="5E400A7C" w14:textId="77777777">
        <w:trPr>
          <w:trHeight w:val="554"/>
        </w:trPr>
        <w:tc>
          <w:tcPr>
            <w:tcW w:w="2265" w:type="dxa"/>
          </w:tcPr>
          <w:p w14:paraId="6B2B04CE" w14:textId="77777777" w:rsidR="00E15B7F" w:rsidRDefault="00AD47E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Chivalrous</w:t>
            </w:r>
          </w:p>
        </w:tc>
        <w:tc>
          <w:tcPr>
            <w:tcW w:w="7513" w:type="dxa"/>
          </w:tcPr>
          <w:p w14:paraId="6C64488C" w14:textId="6339F81B" w:rsidR="00E15B7F" w:rsidRDefault="00AD4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marked by gracious courtesy and high-minded consideration</w:t>
            </w:r>
            <w:r w:rsidR="000C26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especially to women</w:t>
            </w:r>
          </w:p>
        </w:tc>
      </w:tr>
    </w:tbl>
    <w:p w14:paraId="59DF18FA" w14:textId="77777777" w:rsidR="00E15B7F" w:rsidRDefault="00E15B7F">
      <w:pPr>
        <w:pStyle w:val="Heading2"/>
        <w:spacing w:before="0" w:line="240" w:lineRule="auto"/>
        <w:rPr>
          <w:sz w:val="16"/>
          <w:szCs w:val="16"/>
        </w:rPr>
      </w:pPr>
    </w:p>
    <w:p w14:paraId="5ECE182B" w14:textId="77777777" w:rsidR="00E15B7F" w:rsidRPr="000C2651" w:rsidRDefault="00AD47E2">
      <w:pPr>
        <w:pStyle w:val="Heading2"/>
        <w:spacing w:before="0" w:line="240" w:lineRule="auto"/>
        <w:rPr>
          <w:color w:val="auto"/>
          <w:sz w:val="16"/>
          <w:szCs w:val="16"/>
        </w:rPr>
      </w:pPr>
      <w:r w:rsidRPr="000C2651">
        <w:rPr>
          <w:color w:val="auto"/>
          <w:sz w:val="16"/>
          <w:szCs w:val="16"/>
        </w:rPr>
        <w:t>Sources</w:t>
      </w:r>
    </w:p>
    <w:p w14:paraId="2382124C" w14:textId="77777777" w:rsidR="00E15B7F" w:rsidRPr="000C2651" w:rsidRDefault="00AD47E2">
      <w:pPr>
        <w:pStyle w:val="Heading2"/>
        <w:spacing w:before="0"/>
        <w:ind w:left="720" w:hanging="720"/>
        <w:rPr>
          <w:color w:val="auto"/>
          <w:sz w:val="16"/>
          <w:szCs w:val="16"/>
        </w:rPr>
      </w:pPr>
      <w:r w:rsidRPr="000C2651">
        <w:rPr>
          <w:color w:val="auto"/>
          <w:sz w:val="16"/>
          <w:szCs w:val="16"/>
        </w:rPr>
        <w:t>Gender equity. European Institute for Gender Equality. (n.d.). https://eige.europa.eu/publications-resources/thesaurus/terms/1262</w:t>
      </w:r>
    </w:p>
    <w:p w14:paraId="5004BDEF" w14:textId="77777777" w:rsidR="00E15B7F" w:rsidRPr="000C2651" w:rsidRDefault="00AD47E2">
      <w:pPr>
        <w:pStyle w:val="Heading2"/>
        <w:spacing w:before="0"/>
        <w:ind w:left="720" w:hanging="720"/>
        <w:rPr>
          <w:color w:val="auto"/>
          <w:sz w:val="16"/>
          <w:szCs w:val="16"/>
        </w:rPr>
      </w:pPr>
      <w:r w:rsidRPr="000C2651">
        <w:rPr>
          <w:color w:val="auto"/>
          <w:sz w:val="16"/>
          <w:szCs w:val="16"/>
        </w:rPr>
        <w:t>Guy-Evans, O. (2024, February 13). Gender socialization: Examples, agents &amp; impact. Simply Psychology. https://www.simplypsychology.org/gender-socialization.html</w:t>
      </w:r>
    </w:p>
    <w:p w14:paraId="60F748DF" w14:textId="77777777" w:rsidR="00E15B7F" w:rsidRPr="000C2651" w:rsidRDefault="00AD47E2">
      <w:pPr>
        <w:pStyle w:val="Heading2"/>
        <w:spacing w:before="0"/>
        <w:ind w:left="720" w:hanging="720"/>
        <w:rPr>
          <w:color w:val="auto"/>
          <w:sz w:val="16"/>
          <w:szCs w:val="16"/>
        </w:rPr>
      </w:pPr>
      <w:r w:rsidRPr="000C2651">
        <w:rPr>
          <w:color w:val="auto"/>
          <w:sz w:val="16"/>
          <w:szCs w:val="16"/>
        </w:rPr>
        <w:t>Merriam-Webster. (n.d.-a). America’s most trusted dictionary. Merriam-Webster. https://www.merriam-webster.com/</w:t>
      </w:r>
    </w:p>
    <w:sectPr w:rsidR="00E15B7F" w:rsidRPr="000C265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A3D9B" w14:textId="77777777" w:rsidR="00AD47E2" w:rsidRDefault="00AD47E2">
      <w:pPr>
        <w:spacing w:after="0" w:line="240" w:lineRule="auto"/>
      </w:pPr>
      <w:r>
        <w:separator/>
      </w:r>
    </w:p>
  </w:endnote>
  <w:endnote w:type="continuationSeparator" w:id="0">
    <w:p w14:paraId="10068F74" w14:textId="77777777" w:rsidR="00AD47E2" w:rsidRDefault="00AD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C88E" w14:textId="77777777" w:rsidR="00E15B7F" w:rsidRDefault="00AD47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6B374C7" wp14:editId="4D93BC33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A7DC6D" wp14:editId="3DC00AA7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58655" w14:textId="77777777" w:rsidR="00E15B7F" w:rsidRDefault="00AD47E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7DC6D" id="Rectangle 3" o:spid="_x0000_s1026" style="position:absolute;margin-left:88pt;margin-top:-13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+vl3rcAAAACgEAAA8AAABkcnMvZG93bnJldi54&#10;bWxMj8FOwzAQRO9I/IO1SNxau6GEEuJUCNEDR1IOHN14SSLsdRQ7bfr33Z7gNqMdzb4pt7N34ohj&#10;7ANpWC0VCKQm2J5aDV/73WIDIiZD1rhAqOGMEbbV7U1pChtO9InHOrWCSygWRkOX0lBIGZsOvYnL&#10;MCDx7SeM3iS2YyvtaE5c7p3MlMqlNz3xh84M+NZh81tPXsOAzk5uXavvRr6PtMo/9vL8qPX93fz6&#10;AiLhnP7CcMVndKiY6RAmslE49k85b0kaFtlVcGKjnlkcNGQPa5BVKf9PqC4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r6+XetwAAAAKAQAADwAAAAAAAAAAAAAAAAAQBAAAZHJzL2Rv&#10;d25yZXYueG1sUEsFBgAAAAAEAAQA8wAAABkFAAAAAA==&#10;" filled="f" stroked="f">
              <v:textbox inset="2.53958mm,1.2694mm,2.53958mm,1.2694mm">
                <w:txbxContent>
                  <w:p w14:paraId="0B658655" w14:textId="77777777" w:rsidR="00E15B7F" w:rsidRDefault="00AD47E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UNVEILING SOCIETAL NORMS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2F18" w14:textId="77777777" w:rsidR="00AD47E2" w:rsidRDefault="00AD47E2">
      <w:pPr>
        <w:spacing w:after="0" w:line="240" w:lineRule="auto"/>
      </w:pPr>
      <w:r>
        <w:separator/>
      </w:r>
    </w:p>
  </w:footnote>
  <w:footnote w:type="continuationSeparator" w:id="0">
    <w:p w14:paraId="4CAFDD5A" w14:textId="77777777" w:rsidR="00AD47E2" w:rsidRDefault="00AD4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7F"/>
    <w:rsid w:val="000C2651"/>
    <w:rsid w:val="0062628B"/>
    <w:rsid w:val="00881E67"/>
    <w:rsid w:val="009D60AA"/>
    <w:rsid w:val="009E1EC9"/>
    <w:rsid w:val="00AD47E2"/>
    <w:rsid w:val="00DF0FB6"/>
    <w:rsid w:val="00E1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110A6"/>
  <w15:docId w15:val="{3ED02EB5-7442-47FA-BD74-F9E98373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6307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79F"/>
    <w:rPr>
      <w:color w:val="605E5C"/>
      <w:shd w:val="clear" w:color="auto" w:fill="E1DFDD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9ZAd3pXQAcX5NvVIO+XQg3fyKw==">CgMxLjA4AHIhMTNjRnpaZWtlMlRFV0dvbHEtaTNuMFBYUWxwbFg0ekhV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1551</Characters>
  <Application>Microsoft Office Word</Application>
  <DocSecurity>0</DocSecurity>
  <Lines>43</Lines>
  <Paragraphs>35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Willems, Kelsey</dc:creator>
  <cp:lastModifiedBy>Bracken, Pam</cp:lastModifiedBy>
  <cp:revision>2</cp:revision>
  <dcterms:created xsi:type="dcterms:W3CDTF">2025-01-02T16:07:00Z</dcterms:created>
  <dcterms:modified xsi:type="dcterms:W3CDTF">2025-01-02T16:07:00Z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88f8466a17c3602f5ffcf9c50560a1081fbc0e69e44592934d06183cf5c8b119</vt:lpwstr>
  </property>
</Properties>
</file>