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2160" w14:textId="635E4358" w:rsidR="00502A31" w:rsidRPr="00D43B01" w:rsidRDefault="00D43B01" w:rsidP="00D43B01">
      <w:pPr>
        <w:pStyle w:val="Heading1"/>
        <w:rPr>
          <w:rStyle w:val="Heading2Char"/>
          <w:b/>
          <w:bCs/>
          <w:color w:val="2E2E2E" w:themeColor="text1"/>
          <w:sz w:val="28"/>
          <w:szCs w:val="32"/>
        </w:rPr>
      </w:pPr>
      <w:r>
        <w:rPr>
          <w:lang w:val="es"/>
        </w:rPr>
        <w:t>REQUISITOS DE ADMISIÓN DE LA UNIVERSIDAD DE OKLAHOMA</w:t>
      </w:r>
    </w:p>
    <w:p w14:paraId="34EA709C" w14:textId="653172CE" w:rsidR="00D43B01" w:rsidRPr="00AA140D" w:rsidRDefault="00D43B01" w:rsidP="00D43B01">
      <w:pPr>
        <w:pStyle w:val="Heading2"/>
      </w:pPr>
      <w:r>
        <w:rPr>
          <w:lang w:val="es"/>
        </w:rPr>
        <w:t>CURSOS DE ESCUELA SECUNDARIA</w:t>
      </w:r>
    </w:p>
    <w:p w14:paraId="20EEDE60" w14:textId="77777777" w:rsidR="00D43B01" w:rsidRPr="00D43B01" w:rsidRDefault="00D43B01" w:rsidP="00D43B01">
      <w:pPr>
        <w:pStyle w:val="ListParagraph"/>
        <w:numPr>
          <w:ilvl w:val="0"/>
          <w:numId w:val="11"/>
        </w:numPr>
        <w:rPr>
          <w:rFonts w:ascii="Calibri" w:eastAsia="Times New Roman" w:hAnsi="Calibri"/>
          <w:sz w:val="18"/>
          <w:szCs w:val="18"/>
        </w:rPr>
      </w:pPr>
      <w:r>
        <w:rPr>
          <w:rFonts w:ascii="Calibri" w:eastAsia="Times New Roman" w:hAnsi="Calibri"/>
          <w:b/>
          <w:bCs/>
          <w:sz w:val="18"/>
          <w:szCs w:val="18"/>
          <w:lang w:val="es"/>
        </w:rPr>
        <w:t>4 unidades de Inglés –</w:t>
      </w:r>
      <w:r>
        <w:rPr>
          <w:rFonts w:ascii="Calibri" w:eastAsia="Times New Roman" w:hAnsi="Calibri"/>
          <w:sz w:val="18"/>
          <w:szCs w:val="18"/>
          <w:lang w:val="es"/>
        </w:rPr>
        <w:t xml:space="preserve"> solo de Gramática, Composición y Literatura.</w:t>
      </w:r>
    </w:p>
    <w:p w14:paraId="06D5CA37" w14:textId="77777777" w:rsidR="00D43B01" w:rsidRPr="00D43B01" w:rsidRDefault="00D43B01" w:rsidP="00D43B01">
      <w:pPr>
        <w:pStyle w:val="ListParagraph"/>
        <w:numPr>
          <w:ilvl w:val="0"/>
          <w:numId w:val="11"/>
        </w:numPr>
        <w:rPr>
          <w:rFonts w:ascii="Calibri" w:eastAsia="Times New Roman" w:hAnsi="Calibri"/>
          <w:sz w:val="18"/>
          <w:szCs w:val="18"/>
        </w:rPr>
      </w:pPr>
      <w:r>
        <w:rPr>
          <w:rFonts w:ascii="Calibri" w:eastAsia="Times New Roman" w:hAnsi="Calibri"/>
          <w:b/>
          <w:bCs/>
          <w:sz w:val="18"/>
          <w:szCs w:val="18"/>
          <w:lang w:val="es"/>
        </w:rPr>
        <w:t>3 unidades de Matemáticas de preparación para la universidad (se recomienda 4) –</w:t>
      </w:r>
      <w:r>
        <w:rPr>
          <w:rFonts w:ascii="Calibri" w:eastAsia="Times New Roman" w:hAnsi="Calibri"/>
          <w:sz w:val="18"/>
          <w:szCs w:val="18"/>
          <w:lang w:val="es"/>
        </w:rPr>
        <w:t xml:space="preserve"> de Álgebra I, Álgebra II, Geometría, Trigonometría, Análisis Matemático, Cálculo o Estadística de nivel avanzado (Advance Placement, AP).</w:t>
      </w:r>
    </w:p>
    <w:p w14:paraId="52BB6271" w14:textId="77777777" w:rsidR="00D43B01" w:rsidRPr="00D43B01" w:rsidRDefault="00D43B01" w:rsidP="00D43B01">
      <w:pPr>
        <w:pStyle w:val="ListParagraph"/>
        <w:numPr>
          <w:ilvl w:val="0"/>
          <w:numId w:val="11"/>
        </w:numPr>
        <w:rPr>
          <w:rFonts w:ascii="Calibri" w:eastAsia="Times New Roman" w:hAnsi="Calibri"/>
          <w:sz w:val="18"/>
          <w:szCs w:val="18"/>
        </w:rPr>
      </w:pPr>
      <w:r>
        <w:rPr>
          <w:rFonts w:ascii="Calibri" w:eastAsia="Times New Roman" w:hAnsi="Calibri"/>
          <w:b/>
          <w:bCs/>
          <w:sz w:val="18"/>
          <w:szCs w:val="18"/>
          <w:lang w:val="es"/>
        </w:rPr>
        <w:t>3 unidades de Ciencias de laboratorio (se recomienda 4) –</w:t>
      </w:r>
      <w:r>
        <w:rPr>
          <w:rFonts w:ascii="Calibri" w:eastAsia="Times New Roman" w:hAnsi="Calibri"/>
          <w:sz w:val="18"/>
          <w:szCs w:val="18"/>
          <w:lang w:val="es"/>
        </w:rPr>
        <w:t xml:space="preserve"> (no incluye Ciencias Generales, con o sin laboratorio) un año de Principios de Tecnología puede sustituir a uno de los cursos de Ciencias de laboratorio, siempre que el estudiante también complete un curso de Ciencias de laboratorio tradicional.</w:t>
      </w:r>
    </w:p>
    <w:p w14:paraId="79BC674F" w14:textId="77777777" w:rsidR="00D43B01" w:rsidRPr="00D43B01" w:rsidRDefault="00D43B01" w:rsidP="00D43B01">
      <w:pPr>
        <w:pStyle w:val="ListParagraph"/>
        <w:numPr>
          <w:ilvl w:val="0"/>
          <w:numId w:val="11"/>
        </w:numPr>
        <w:rPr>
          <w:rFonts w:ascii="Calibri" w:eastAsia="Times New Roman" w:hAnsi="Calibri"/>
          <w:sz w:val="18"/>
          <w:szCs w:val="18"/>
        </w:rPr>
      </w:pPr>
      <w:r>
        <w:rPr>
          <w:rFonts w:ascii="Calibri" w:eastAsia="Times New Roman" w:hAnsi="Calibri"/>
          <w:b/>
          <w:bCs/>
          <w:sz w:val="18"/>
          <w:szCs w:val="18"/>
          <w:lang w:val="es"/>
        </w:rPr>
        <w:t>3 unidades de Historia y Ciudadanía</w:t>
      </w:r>
      <w:r>
        <w:rPr>
          <w:rFonts w:ascii="Calibri" w:eastAsia="Times New Roman" w:hAnsi="Calibri"/>
          <w:sz w:val="18"/>
          <w:szCs w:val="18"/>
          <w:lang w:val="es"/>
        </w:rPr>
        <w:t xml:space="preserve"> </w:t>
      </w:r>
      <w:r>
        <w:rPr>
          <w:rFonts w:ascii="Calibri" w:eastAsia="Times New Roman" w:hAnsi="Calibri"/>
          <w:b/>
          <w:bCs/>
          <w:sz w:val="18"/>
          <w:szCs w:val="18"/>
          <w:lang w:val="es"/>
        </w:rPr>
        <w:t>–</w:t>
      </w:r>
      <w:r>
        <w:rPr>
          <w:rFonts w:ascii="Calibri" w:eastAsia="Times New Roman" w:hAnsi="Calibri"/>
          <w:sz w:val="18"/>
          <w:szCs w:val="18"/>
          <w:lang w:val="es"/>
        </w:rPr>
        <w:t xml:space="preserve"> que incluyan una unidad de Historia de los Estados Unidos y dos unidades adicionales de las asignaturas de Historia, Economía, Geografía, Gobierno, Cultura no occidental.</w:t>
      </w:r>
    </w:p>
    <w:p w14:paraId="4BD42EDF" w14:textId="77777777" w:rsidR="00D43B01" w:rsidRPr="00D43B01" w:rsidRDefault="00D43B01" w:rsidP="00D43B01">
      <w:pPr>
        <w:pStyle w:val="ListParagraph"/>
        <w:numPr>
          <w:ilvl w:val="0"/>
          <w:numId w:val="11"/>
        </w:numPr>
        <w:rPr>
          <w:rFonts w:ascii="Calibri" w:eastAsia="Times New Roman" w:hAnsi="Calibri"/>
          <w:sz w:val="18"/>
          <w:szCs w:val="18"/>
        </w:rPr>
      </w:pPr>
      <w:r>
        <w:rPr>
          <w:rFonts w:ascii="Calibri" w:eastAsia="Times New Roman" w:hAnsi="Calibri"/>
          <w:b/>
          <w:bCs/>
          <w:sz w:val="18"/>
          <w:szCs w:val="18"/>
          <w:lang w:val="es"/>
        </w:rPr>
        <w:t>2 unidades adicionales –</w:t>
      </w:r>
      <w:r>
        <w:rPr>
          <w:rFonts w:ascii="Calibri" w:eastAsia="Times New Roman" w:hAnsi="Calibri"/>
          <w:sz w:val="18"/>
          <w:szCs w:val="18"/>
          <w:lang w:val="es"/>
        </w:rPr>
        <w:t xml:space="preserve"> de cualquiera de las asignaturas enumeradas anteriormente o de Informática o Lengua Extranjera. Dos años de la misma lengua extranjera satisfacen el requisito de educación general en lengua extranjera de la Universidad. Cualquier curso AP que no haya sido utilizado para satisfacer las unidades curriculares mencionadas anteriormente puede ser utilizado para satisfacer las dos unidades adicionales, excepto los cursos AP del Taller de arte o Inglés Internacional.</w:t>
      </w:r>
    </w:p>
    <w:p w14:paraId="58A2A5E3" w14:textId="16C7D996" w:rsidR="00D43B01" w:rsidRPr="00D43B01" w:rsidRDefault="00D43B01" w:rsidP="00D43B01">
      <w:pPr>
        <w:pStyle w:val="ListParagraph"/>
        <w:numPr>
          <w:ilvl w:val="0"/>
          <w:numId w:val="11"/>
        </w:numPr>
        <w:rPr>
          <w:rFonts w:ascii="Calibri" w:eastAsia="Times New Roman" w:hAnsi="Calibri"/>
          <w:sz w:val="18"/>
          <w:szCs w:val="18"/>
        </w:rPr>
      </w:pPr>
      <w:r>
        <w:rPr>
          <w:rFonts w:ascii="Calibri" w:eastAsia="Times New Roman" w:hAnsi="Calibri"/>
          <w:sz w:val="18"/>
          <w:szCs w:val="18"/>
          <w:lang w:val="es"/>
        </w:rPr>
        <w:t>También se recomiendan los cursos de Música, Arte, Teatro u Expresión Oral.</w:t>
      </w:r>
    </w:p>
    <w:p w14:paraId="72C2D37F" w14:textId="7E99675F" w:rsidR="00D43B01" w:rsidRDefault="00D43B01" w:rsidP="00D43B01">
      <w:pPr>
        <w:pStyle w:val="Heading2"/>
      </w:pPr>
      <w:r>
        <w:rPr>
          <w:lang w:val="es"/>
        </w:rPr>
        <w:t>FACTORES EN LAS DECISIONES DE ADMISIÓN</w:t>
      </w:r>
    </w:p>
    <w:p w14:paraId="3738ADC4" w14:textId="77777777" w:rsidR="00D43B01" w:rsidRPr="00AA140D" w:rsidRDefault="00D43B01" w:rsidP="00D43B01">
      <w:pPr>
        <w:rPr>
          <w:rFonts w:eastAsia="Times New Roman"/>
        </w:rPr>
      </w:pPr>
      <w:r>
        <w:rPr>
          <w:rFonts w:eastAsia="Times New Roman"/>
          <w:lang w:val="es"/>
        </w:rPr>
        <w:t>El factor principal en las decisiones de admisión de primer año de la Universidad de Oklahoma es el rendimiento académico demostrado. La revisión académica se centra en tres criterios:</w:t>
      </w:r>
    </w:p>
    <w:p w14:paraId="146F1125" w14:textId="77777777" w:rsidR="00D43B01" w:rsidRPr="00D43B01" w:rsidRDefault="00D43B01" w:rsidP="00D43B01">
      <w:pPr>
        <w:pStyle w:val="ListParagraph"/>
        <w:numPr>
          <w:ilvl w:val="0"/>
          <w:numId w:val="12"/>
        </w:numPr>
        <w:rPr>
          <w:rFonts w:ascii="Calibri" w:eastAsia="Times New Roman" w:hAnsi="Calibri"/>
          <w:sz w:val="18"/>
          <w:szCs w:val="18"/>
        </w:rPr>
      </w:pPr>
      <w:r>
        <w:rPr>
          <w:rFonts w:ascii="Calibri" w:eastAsia="Times New Roman" w:hAnsi="Calibri"/>
          <w:sz w:val="18"/>
          <w:szCs w:val="18"/>
          <w:lang w:val="es"/>
        </w:rPr>
        <w:t>Promedio de calificaciones (GPA) en los cursos académicos básicos;</w:t>
      </w:r>
    </w:p>
    <w:p w14:paraId="03F18339" w14:textId="77777777" w:rsidR="00D43B01" w:rsidRPr="00D43B01" w:rsidRDefault="00D43B01" w:rsidP="00D43B01">
      <w:pPr>
        <w:pStyle w:val="ListParagraph"/>
        <w:numPr>
          <w:ilvl w:val="0"/>
          <w:numId w:val="12"/>
        </w:numPr>
        <w:rPr>
          <w:rFonts w:ascii="Calibri" w:eastAsia="Times New Roman" w:hAnsi="Calibri"/>
          <w:sz w:val="18"/>
          <w:szCs w:val="18"/>
        </w:rPr>
      </w:pPr>
      <w:r>
        <w:rPr>
          <w:rFonts w:ascii="Calibri" w:eastAsia="Times New Roman" w:hAnsi="Calibri"/>
          <w:sz w:val="18"/>
          <w:szCs w:val="18"/>
          <w:lang w:val="es"/>
        </w:rPr>
        <w:t>Rigor en la selección de cursos, y</w:t>
      </w:r>
    </w:p>
    <w:p w14:paraId="3DEE6B62" w14:textId="4CE76017" w:rsidR="00D43B01" w:rsidRPr="00D43B01" w:rsidRDefault="00D43B01" w:rsidP="00D43B01">
      <w:pPr>
        <w:pStyle w:val="ListParagraph"/>
        <w:numPr>
          <w:ilvl w:val="0"/>
          <w:numId w:val="12"/>
        </w:numPr>
        <w:rPr>
          <w:rFonts w:ascii="Calibri" w:eastAsia="Times New Roman" w:hAnsi="Calibri"/>
          <w:sz w:val="18"/>
          <w:szCs w:val="18"/>
        </w:rPr>
      </w:pPr>
      <w:r>
        <w:rPr>
          <w:rFonts w:ascii="Calibri" w:eastAsia="Times New Roman" w:hAnsi="Calibri"/>
          <w:sz w:val="18"/>
          <w:szCs w:val="18"/>
          <w:lang w:val="es"/>
        </w:rPr>
        <w:t>Puntiaciones en el ACT y/o SAT.</w:t>
      </w:r>
    </w:p>
    <w:p w14:paraId="7E9A5E3F" w14:textId="77777777" w:rsidR="00D43B01" w:rsidRPr="00AA140D" w:rsidRDefault="00D43B01" w:rsidP="00D43B01">
      <w:pPr>
        <w:rPr>
          <w:rFonts w:eastAsia="Times New Roman"/>
        </w:rPr>
      </w:pPr>
      <w:r>
        <w:rPr>
          <w:rFonts w:eastAsia="Times New Roman"/>
          <w:lang w:val="es"/>
        </w:rPr>
        <w:t>También se revisan todas las solicitudes para cursos de preparación para la universidad como Inglés, Matemáticas, Ciencias, Estudios Sociales y Lengua Extranjera.</w:t>
      </w:r>
    </w:p>
    <w:p w14:paraId="031E9A51" w14:textId="77777777" w:rsidR="00D43B01" w:rsidRDefault="00D43B01" w:rsidP="00D43B01">
      <w:pPr>
        <w:rPr>
          <w:rFonts w:eastAsia="Times New Roman"/>
        </w:rPr>
      </w:pPr>
    </w:p>
    <w:p w14:paraId="4812B99E" w14:textId="77777777" w:rsidR="00D43B01" w:rsidRPr="00AA140D" w:rsidRDefault="00D43B01" w:rsidP="00D43B01">
      <w:pPr>
        <w:rPr>
          <w:rFonts w:eastAsia="Times New Roman"/>
        </w:rPr>
      </w:pPr>
      <w:r>
        <w:rPr>
          <w:rFonts w:eastAsia="Times New Roman"/>
          <w:lang w:val="es"/>
        </w:rPr>
        <w:t>El Comité de Admisiones de la Universidad de Oklahoma y el personal de la Oficina de Admisiones han identificado una serie de factores adicionales que pueden ser considerados en las decisiones de admisión o en la concesión de becas por mérito.</w:t>
      </w:r>
    </w:p>
    <w:p w14:paraId="1167B1FA" w14:textId="77777777" w:rsidR="00D43B01" w:rsidRPr="00AA140D" w:rsidRDefault="00D43B01" w:rsidP="00D43B01">
      <w:pPr>
        <w:rPr>
          <w:rFonts w:eastAsia="Times New Roman"/>
        </w:rPr>
      </w:pPr>
      <w:r>
        <w:rPr>
          <w:rFonts w:eastAsia="Times New Roman"/>
          <w:lang w:val="es"/>
        </w:rPr>
        <w:t>Entre ellos se encuentran:</w:t>
      </w:r>
    </w:p>
    <w:p w14:paraId="52238A8D" w14:textId="77777777" w:rsidR="00D43B01" w:rsidRPr="00D43B01" w:rsidRDefault="00D43B01" w:rsidP="00D43B01">
      <w:pPr>
        <w:pStyle w:val="ListParagraph"/>
        <w:numPr>
          <w:ilvl w:val="0"/>
          <w:numId w:val="13"/>
        </w:numPr>
        <w:rPr>
          <w:rFonts w:ascii="Calibri" w:eastAsia="Times New Roman" w:hAnsi="Calibri"/>
          <w:sz w:val="18"/>
          <w:szCs w:val="18"/>
        </w:rPr>
      </w:pPr>
      <w:r>
        <w:rPr>
          <w:rFonts w:ascii="Calibri" w:eastAsia="Times New Roman" w:hAnsi="Calibri"/>
          <w:sz w:val="18"/>
          <w:szCs w:val="18"/>
          <w:lang w:val="es"/>
        </w:rPr>
        <w:t>Excelencia en los logros académicos, actividades intelectuales y esfuerzos creativos;</w:t>
      </w:r>
    </w:p>
    <w:p w14:paraId="38872F0C" w14:textId="77777777" w:rsidR="00D43B01" w:rsidRPr="00D43B01" w:rsidRDefault="00D43B01" w:rsidP="00D43B01">
      <w:pPr>
        <w:pStyle w:val="ListParagraph"/>
        <w:numPr>
          <w:ilvl w:val="0"/>
          <w:numId w:val="13"/>
        </w:numPr>
        <w:rPr>
          <w:rFonts w:ascii="Calibri" w:eastAsia="Times New Roman" w:hAnsi="Calibri"/>
          <w:sz w:val="18"/>
          <w:szCs w:val="18"/>
        </w:rPr>
      </w:pPr>
      <w:r>
        <w:rPr>
          <w:rFonts w:ascii="Calibri" w:eastAsia="Times New Roman" w:hAnsi="Calibri"/>
          <w:sz w:val="18"/>
          <w:szCs w:val="18"/>
          <w:lang w:val="es"/>
        </w:rPr>
        <w:t>Comprender y respetar la diversidad intelectual, social y cultural;</w:t>
      </w:r>
    </w:p>
    <w:p w14:paraId="3524A172" w14:textId="77777777" w:rsidR="00D43B01" w:rsidRPr="00D43B01" w:rsidRDefault="00D43B01" w:rsidP="00D43B01">
      <w:pPr>
        <w:pStyle w:val="ListParagraph"/>
        <w:numPr>
          <w:ilvl w:val="0"/>
          <w:numId w:val="13"/>
        </w:numPr>
        <w:rPr>
          <w:rFonts w:ascii="Calibri" w:eastAsia="Times New Roman" w:hAnsi="Calibri"/>
          <w:sz w:val="18"/>
          <w:szCs w:val="18"/>
        </w:rPr>
      </w:pPr>
      <w:r>
        <w:rPr>
          <w:rFonts w:ascii="Calibri" w:eastAsia="Times New Roman" w:hAnsi="Calibri"/>
          <w:sz w:val="18"/>
          <w:szCs w:val="18"/>
          <w:lang w:val="es"/>
        </w:rPr>
        <w:t>Comprometerse con la ciudadanía a través del servicio público, la participación en la comunidad, las actividades escolares, el liderazgo y/o la familia,</w:t>
      </w:r>
    </w:p>
    <w:p w14:paraId="59527432" w14:textId="77777777" w:rsidR="00D43B01" w:rsidRPr="00D43B01" w:rsidRDefault="00D43B01" w:rsidP="00D43B01">
      <w:pPr>
        <w:pStyle w:val="ListParagraph"/>
        <w:numPr>
          <w:ilvl w:val="0"/>
          <w:numId w:val="13"/>
        </w:numPr>
        <w:rPr>
          <w:rFonts w:ascii="Calibri" w:eastAsia="Times New Roman" w:hAnsi="Calibri"/>
          <w:sz w:val="18"/>
          <w:szCs w:val="18"/>
        </w:rPr>
      </w:pPr>
      <w:r>
        <w:rPr>
          <w:rFonts w:ascii="Calibri" w:eastAsia="Times New Roman" w:hAnsi="Calibri"/>
          <w:sz w:val="18"/>
          <w:szCs w:val="18"/>
          <w:lang w:val="es"/>
        </w:rPr>
        <w:t>Integridad y madurez, y</w:t>
      </w:r>
    </w:p>
    <w:p w14:paraId="041E6153" w14:textId="2557B64C" w:rsidR="00D43B01" w:rsidRPr="00D43B01" w:rsidRDefault="00D43B01" w:rsidP="00D43B01">
      <w:pPr>
        <w:pStyle w:val="ListParagraph"/>
        <w:numPr>
          <w:ilvl w:val="0"/>
          <w:numId w:val="13"/>
        </w:numPr>
        <w:rPr>
          <w:rFonts w:ascii="Calibri" w:eastAsia="Times New Roman" w:hAnsi="Calibri"/>
          <w:sz w:val="18"/>
          <w:szCs w:val="18"/>
        </w:rPr>
      </w:pPr>
      <w:r>
        <w:rPr>
          <w:rFonts w:ascii="Calibri" w:eastAsia="Times New Roman" w:hAnsi="Calibri"/>
          <w:sz w:val="18"/>
          <w:szCs w:val="18"/>
          <w:lang w:val="es"/>
        </w:rPr>
        <w:t>Reconocer los beneficios de una comunidad académica cultural e intelectualmente diversa.</w:t>
      </w:r>
    </w:p>
    <w:p w14:paraId="1C88565E" w14:textId="00691E1C" w:rsidR="00D43B01" w:rsidRPr="00AA140D" w:rsidRDefault="00D43B01" w:rsidP="00D43B01">
      <w:pPr>
        <w:pStyle w:val="Heading2"/>
      </w:pPr>
      <w:r>
        <w:rPr>
          <w:lang w:val="es"/>
        </w:rPr>
        <w:t>FACTORES ADICIONALES EN LAS DECISIONES DE ADMISIÓN</w:t>
      </w:r>
    </w:p>
    <w:p w14:paraId="356603E1" w14:textId="77777777" w:rsidR="00D43B01" w:rsidRPr="00AA140D" w:rsidRDefault="00D43B01" w:rsidP="00D43B01">
      <w:pPr>
        <w:rPr>
          <w:rFonts w:eastAsia="Times New Roman"/>
        </w:rPr>
      </w:pPr>
      <w:r>
        <w:rPr>
          <w:rFonts w:eastAsia="Times New Roman"/>
          <w:lang w:val="es"/>
        </w:rPr>
        <w:t>El Comité de Admisión de la Universidad de Oklahoma aprecia la importancia de considerar otros factores más allá de los logros académicos para discernir las capacidades generales de un solicitante. Por lo tanto, después de la revisión académica inicial se realizará una revisión más exhaustiva de todo el expediente de solicitud del estudiante. La Universidad tendrá en cuenta la información recopilada de muchas fuentes más allá del certificado de notas y las puntuaciones de los exámenes del solicitante de primer año, las cuales incluyen, pero no se limitan a:</w:t>
      </w:r>
    </w:p>
    <w:p w14:paraId="25AF9D44" w14:textId="77777777" w:rsidR="00D43B01" w:rsidRPr="00D43B01" w:rsidRDefault="00D43B01" w:rsidP="00D43B01">
      <w:pPr>
        <w:pStyle w:val="ListParagraph"/>
        <w:numPr>
          <w:ilvl w:val="0"/>
          <w:numId w:val="14"/>
        </w:numPr>
        <w:rPr>
          <w:rFonts w:ascii="Calibri" w:eastAsia="Times New Roman" w:hAnsi="Calibri"/>
          <w:sz w:val="18"/>
          <w:szCs w:val="18"/>
        </w:rPr>
      </w:pPr>
      <w:r>
        <w:rPr>
          <w:rFonts w:ascii="Calibri" w:eastAsia="Times New Roman" w:hAnsi="Calibri"/>
          <w:sz w:val="18"/>
          <w:szCs w:val="18"/>
          <w:lang w:val="es"/>
        </w:rPr>
        <w:t>Ensayo de solicitud de ingreso y respuestas cortas;</w:t>
      </w:r>
    </w:p>
    <w:p w14:paraId="5D30FAF7" w14:textId="77777777" w:rsidR="00D43B01" w:rsidRPr="00D43B01" w:rsidRDefault="00D43B01" w:rsidP="00D43B01">
      <w:pPr>
        <w:pStyle w:val="ListParagraph"/>
        <w:numPr>
          <w:ilvl w:val="0"/>
          <w:numId w:val="14"/>
        </w:numPr>
        <w:rPr>
          <w:rFonts w:ascii="Calibri" w:eastAsia="Times New Roman" w:hAnsi="Calibri"/>
          <w:sz w:val="18"/>
          <w:szCs w:val="18"/>
        </w:rPr>
      </w:pPr>
      <w:r>
        <w:rPr>
          <w:rFonts w:ascii="Calibri" w:eastAsia="Times New Roman" w:hAnsi="Calibri"/>
          <w:sz w:val="18"/>
          <w:szCs w:val="18"/>
          <w:lang w:val="es"/>
        </w:rPr>
        <w:t>Actividades escolares y comunitarias, puestos de liderazgo y premios, y</w:t>
      </w:r>
    </w:p>
    <w:p w14:paraId="7FCE3C71" w14:textId="3BAD9BAD" w:rsidR="00B441CE" w:rsidRPr="00D43B01" w:rsidRDefault="00D43B01" w:rsidP="00D43B01">
      <w:pPr>
        <w:pStyle w:val="ListParagraph"/>
        <w:numPr>
          <w:ilvl w:val="0"/>
          <w:numId w:val="14"/>
        </w:numPr>
        <w:rPr>
          <w:rFonts w:ascii="Calibri" w:eastAsia="Times New Roman" w:hAnsi="Calibri"/>
          <w:sz w:val="18"/>
          <w:szCs w:val="18"/>
        </w:rPr>
      </w:pPr>
      <w:r>
        <w:rPr>
          <w:rFonts w:ascii="Calibri" w:eastAsia="Times New Roman" w:hAnsi="Calibri"/>
          <w:sz w:val="18"/>
          <w:szCs w:val="18"/>
          <w:lang w:val="es"/>
        </w:rPr>
        <w:t>Participación en actividades deportivas, experiencia laboral, actividades de verano, y circunstancias especiales.</w:t>
      </w:r>
    </w:p>
    <w:sectPr w:rsidR="00B441CE" w:rsidRPr="00D43B01" w:rsidSect="00B441C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E088" w14:textId="77777777" w:rsidR="006C3039" w:rsidRDefault="006C3039" w:rsidP="000858BD">
      <w:r>
        <w:separator/>
      </w:r>
    </w:p>
  </w:endnote>
  <w:endnote w:type="continuationSeparator" w:id="0">
    <w:p w14:paraId="3B74FC8A" w14:textId="77777777" w:rsidR="006C3039" w:rsidRDefault="006C3039"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HGPMinchoE">
    <w:charset w:val="80"/>
    <w:family w:val="roman"/>
    <w:pitch w:val="variable"/>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Sans">
    <w:altName w:val="Open Sans"/>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5B2A6C" w:rsidRDefault="005B2A6C"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0D91C4" w14:textId="0B39D81E" w:rsidR="005B2A6C" w:rsidRDefault="00502A31" w:rsidP="000858BD">
                          <w:pPr>
                            <w:tabs>
                              <w:tab w:val="right" w:pos="7740"/>
                            </w:tabs>
                            <w:jc w:val="right"/>
                            <w:rPr>
                              <w:b/>
                              <w:sz w:val="22"/>
                              <w:szCs w:val="22"/>
                            </w:rPr>
                          </w:pPr>
                          <w:r>
                            <w:rPr>
                              <w:b/>
                              <w:bCs/>
                              <w:sz w:val="22"/>
                              <w:szCs w:val="22"/>
                              <w:lang w:val="es"/>
                            </w:rPr>
                            <w:t>COLLEGE ADMISSIONS, PART 2</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5F0D91C4" w14:textId="0B39D81E" w:rsidR="005B2A6C" w:rsidRDefault="00502A31" w:rsidP="000858BD">
                    <w:pPr>
                      <w:tabs>
                        <w:tab w:val="right" w:pos="7740"/>
                      </w:tabs>
                      <w:jc w:val="right"/>
                      <w:rPr>
                        <w:b/>
                        <w:sz w:val="22"/>
                        <w:szCs w:val="22"/>
                      </w:rPr>
                    </w:pPr>
                    <w:r>
                      <w:rPr>
                        <w:b/>
                        <w:bCs/>
                        <w:sz w:val="22"/>
                        <w:szCs w:val="22"/>
                        <w:lang w:val="es"/>
                      </w:rPr>
                      <w:t>COLLEGE ADMISSIONS, PART 2</w:t>
                    </w:r>
                  </w:p>
                  <w:p w14:paraId="269DF973" w14:textId="77777777" w:rsidR="005B2A6C" w:rsidRDefault="005B2A6C"/>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44F3" w14:textId="77777777" w:rsidR="006C3039" w:rsidRDefault="006C3039" w:rsidP="000858BD">
      <w:r>
        <w:separator/>
      </w:r>
    </w:p>
  </w:footnote>
  <w:footnote w:type="continuationSeparator" w:id="0">
    <w:p w14:paraId="5BB1AAE6" w14:textId="77777777" w:rsidR="006C3039" w:rsidRDefault="006C3039" w:rsidP="00085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2E8A"/>
    <w:multiLevelType w:val="hybridMultilevel"/>
    <w:tmpl w:val="24DA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963EB"/>
    <w:multiLevelType w:val="hybridMultilevel"/>
    <w:tmpl w:val="E3FC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01BF4"/>
    <w:multiLevelType w:val="hybridMultilevel"/>
    <w:tmpl w:val="10107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84EF0"/>
    <w:multiLevelType w:val="multilevel"/>
    <w:tmpl w:val="05D0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41BA1"/>
    <w:multiLevelType w:val="hybridMultilevel"/>
    <w:tmpl w:val="5052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97C89"/>
    <w:multiLevelType w:val="hybridMultilevel"/>
    <w:tmpl w:val="37D6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F0E54"/>
    <w:multiLevelType w:val="multilevel"/>
    <w:tmpl w:val="C612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B44190"/>
    <w:multiLevelType w:val="hybridMultilevel"/>
    <w:tmpl w:val="D8B4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418C5"/>
    <w:multiLevelType w:val="hybridMultilevel"/>
    <w:tmpl w:val="CEEC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A2E27"/>
    <w:multiLevelType w:val="multilevel"/>
    <w:tmpl w:val="9B02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4423EF"/>
    <w:multiLevelType w:val="hybridMultilevel"/>
    <w:tmpl w:val="967C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97A75"/>
    <w:multiLevelType w:val="multilevel"/>
    <w:tmpl w:val="4D32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490DBE"/>
    <w:multiLevelType w:val="hybridMultilevel"/>
    <w:tmpl w:val="B76C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6A6725"/>
    <w:multiLevelType w:val="hybridMultilevel"/>
    <w:tmpl w:val="61DE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3870622">
    <w:abstractNumId w:val="6"/>
  </w:num>
  <w:num w:numId="2" w16cid:durableId="862399619">
    <w:abstractNumId w:val="4"/>
  </w:num>
  <w:num w:numId="3" w16cid:durableId="916598892">
    <w:abstractNumId w:val="12"/>
  </w:num>
  <w:num w:numId="4" w16cid:durableId="559825423">
    <w:abstractNumId w:val="5"/>
  </w:num>
  <w:num w:numId="5" w16cid:durableId="1484815542">
    <w:abstractNumId w:val="8"/>
  </w:num>
  <w:num w:numId="6" w16cid:durableId="1490898114">
    <w:abstractNumId w:val="10"/>
  </w:num>
  <w:num w:numId="7" w16cid:durableId="686562685">
    <w:abstractNumId w:val="9"/>
  </w:num>
  <w:num w:numId="8" w16cid:durableId="568077927">
    <w:abstractNumId w:val="3"/>
  </w:num>
  <w:num w:numId="9" w16cid:durableId="1053847837">
    <w:abstractNumId w:val="13"/>
  </w:num>
  <w:num w:numId="10" w16cid:durableId="319431071">
    <w:abstractNumId w:val="11"/>
  </w:num>
  <w:num w:numId="11" w16cid:durableId="279840405">
    <w:abstractNumId w:val="7"/>
  </w:num>
  <w:num w:numId="12" w16cid:durableId="1904214528">
    <w:abstractNumId w:val="0"/>
  </w:num>
  <w:num w:numId="13" w16cid:durableId="1130708259">
    <w:abstractNumId w:val="2"/>
  </w:num>
  <w:num w:numId="14" w16cid:durableId="469641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8BD"/>
    <w:rsid w:val="000858BD"/>
    <w:rsid w:val="0011581D"/>
    <w:rsid w:val="002D2AB7"/>
    <w:rsid w:val="00502A31"/>
    <w:rsid w:val="005B2A6C"/>
    <w:rsid w:val="006C3039"/>
    <w:rsid w:val="00895EAC"/>
    <w:rsid w:val="009B57F9"/>
    <w:rsid w:val="00A57937"/>
    <w:rsid w:val="00A841D3"/>
    <w:rsid w:val="00AB38AC"/>
    <w:rsid w:val="00AC2386"/>
    <w:rsid w:val="00B441CE"/>
    <w:rsid w:val="00D43B01"/>
    <w:rsid w:val="00D77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502A31"/>
    <w:pPr>
      <w:tabs>
        <w:tab w:val="center" w:pos="4680"/>
        <w:tab w:val="right" w:pos="9360"/>
      </w:tabs>
    </w:pPr>
  </w:style>
  <w:style w:type="character" w:customStyle="1" w:styleId="FooterChar">
    <w:name w:val="Footer Char"/>
    <w:basedOn w:val="DefaultParagraphFont"/>
    <w:link w:val="Footer"/>
    <w:uiPriority w:val="99"/>
    <w:rsid w:val="00502A31"/>
    <w:rPr>
      <w:rFonts w:ascii="Calibri" w:hAnsi="Calibri"/>
      <w:color w:val="2E2E2E" w:themeColor="text1"/>
      <w:sz w:val="18"/>
    </w:rPr>
  </w:style>
  <w:style w:type="paragraph" w:styleId="ListParagraph">
    <w:name w:val="List Paragraph"/>
    <w:basedOn w:val="Normal"/>
    <w:uiPriority w:val="34"/>
    <w:qFormat/>
    <w:rsid w:val="00502A31"/>
    <w:pPr>
      <w:spacing w:after="200" w:line="276" w:lineRule="auto"/>
      <w:ind w:left="720"/>
      <w:contextualSpacing/>
    </w:pPr>
    <w:rPr>
      <w:rFonts w:asciiTheme="minorHAnsi" w:eastAsiaTheme="minorHAnsi" w:hAnsiTheme="minorHAns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Admissions, Part 2</dc:title>
  <dc:subject/>
  <dc:creator>K20 Center</dc:creator>
  <cp:keywords/>
  <dc:description/>
  <cp:lastModifiedBy>Bigler, Elijah B.</cp:lastModifiedBy>
  <cp:revision>6</cp:revision>
  <cp:lastPrinted>2022-06-23T21:00:00Z</cp:lastPrinted>
  <dcterms:created xsi:type="dcterms:W3CDTF">2015-09-21T19:22:00Z</dcterms:created>
  <dcterms:modified xsi:type="dcterms:W3CDTF">2023-07-06T18:36:00Z</dcterms:modified>
</cp:coreProperties>
</file>