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2160" w14:textId="635E4358" w:rsidR="00502A31" w:rsidRPr="00D43B01" w:rsidRDefault="00D43B01" w:rsidP="00D43B01">
      <w:pPr>
        <w:pStyle w:val="Heading1"/>
        <w:rPr>
          <w:rStyle w:val="Heading2Char"/>
          <w:b/>
          <w:bCs/>
          <w:color w:val="2E2E2E" w:themeColor="text1"/>
          <w:sz w:val="28"/>
          <w:szCs w:val="32"/>
        </w:rPr>
      </w:pPr>
      <w:r w:rsidRPr="00AA140D">
        <w:t>UNIVERSITY OF OKLAHOMA ADMISSIONS REQUIREMENTS</w:t>
      </w:r>
    </w:p>
    <w:p w14:paraId="34EA709C" w14:textId="653172CE" w:rsidR="00D43B01" w:rsidRPr="00AA140D" w:rsidRDefault="00D43B01" w:rsidP="00D43B01">
      <w:pPr>
        <w:pStyle w:val="Heading2"/>
      </w:pPr>
      <w:r w:rsidRPr="00AA140D">
        <w:t>HIGH SCHOOL COURSEWORK</w:t>
      </w:r>
    </w:p>
    <w:p w14:paraId="20EEDE60" w14:textId="77777777" w:rsidR="00D43B01" w:rsidRPr="00D43B01" w:rsidRDefault="00D43B01" w:rsidP="00D43B01">
      <w:pPr>
        <w:pStyle w:val="ListParagraph"/>
        <w:numPr>
          <w:ilvl w:val="0"/>
          <w:numId w:val="11"/>
        </w:numPr>
        <w:rPr>
          <w:rFonts w:ascii="Calibri" w:eastAsia="Times New Roman" w:hAnsi="Calibri"/>
          <w:sz w:val="18"/>
          <w:szCs w:val="18"/>
        </w:rPr>
      </w:pPr>
      <w:r w:rsidRPr="00D43B01">
        <w:rPr>
          <w:rFonts w:ascii="Calibri" w:eastAsia="Times New Roman" w:hAnsi="Calibri"/>
          <w:b/>
          <w:bCs/>
          <w:sz w:val="18"/>
          <w:szCs w:val="18"/>
        </w:rPr>
        <w:t>4 units of English</w:t>
      </w:r>
      <w:r w:rsidRPr="00D43B01">
        <w:rPr>
          <w:rFonts w:ascii="Calibri" w:eastAsia="Times New Roman" w:hAnsi="Calibri"/>
          <w:b/>
          <w:sz w:val="18"/>
          <w:szCs w:val="18"/>
        </w:rPr>
        <w:t xml:space="preserve"> –</w:t>
      </w:r>
      <w:r w:rsidRPr="00D43B01">
        <w:rPr>
          <w:rFonts w:ascii="Calibri" w:eastAsia="Times New Roman" w:hAnsi="Calibri"/>
          <w:sz w:val="18"/>
          <w:szCs w:val="18"/>
        </w:rPr>
        <w:t xml:space="preserve"> taken from grammar, composition and literature only</w:t>
      </w:r>
    </w:p>
    <w:p w14:paraId="06D5CA37" w14:textId="77777777" w:rsidR="00D43B01" w:rsidRPr="00D43B01" w:rsidRDefault="00D43B01" w:rsidP="00D43B01">
      <w:pPr>
        <w:pStyle w:val="ListParagraph"/>
        <w:numPr>
          <w:ilvl w:val="0"/>
          <w:numId w:val="11"/>
        </w:numPr>
        <w:rPr>
          <w:rFonts w:ascii="Calibri" w:eastAsia="Times New Roman" w:hAnsi="Calibri"/>
          <w:sz w:val="18"/>
          <w:szCs w:val="18"/>
        </w:rPr>
      </w:pPr>
      <w:r w:rsidRPr="00D43B01">
        <w:rPr>
          <w:rFonts w:ascii="Calibri" w:eastAsia="Times New Roman" w:hAnsi="Calibri"/>
          <w:b/>
          <w:bCs/>
          <w:sz w:val="18"/>
          <w:szCs w:val="18"/>
        </w:rPr>
        <w:t>3 units of college prep math (4 recommended)</w:t>
      </w:r>
      <w:r w:rsidRPr="00D43B01">
        <w:rPr>
          <w:rFonts w:ascii="Calibri" w:eastAsia="Times New Roman" w:hAnsi="Calibri"/>
          <w:b/>
          <w:sz w:val="18"/>
          <w:szCs w:val="18"/>
        </w:rPr>
        <w:t xml:space="preserve"> -</w:t>
      </w:r>
      <w:r w:rsidRPr="00D43B01">
        <w:rPr>
          <w:rFonts w:ascii="Calibri" w:eastAsia="Times New Roman" w:hAnsi="Calibri"/>
          <w:sz w:val="18"/>
          <w:szCs w:val="18"/>
        </w:rPr>
        <w:t xml:space="preserve"> taken from algebra I, algebra II, geometry, trigonometry, math analysis, calculus, or Advanced Placement (AP) Statistics</w:t>
      </w:r>
    </w:p>
    <w:p w14:paraId="52BB6271" w14:textId="77777777" w:rsidR="00D43B01" w:rsidRPr="00D43B01" w:rsidRDefault="00D43B01" w:rsidP="00D43B01">
      <w:pPr>
        <w:pStyle w:val="ListParagraph"/>
        <w:numPr>
          <w:ilvl w:val="0"/>
          <w:numId w:val="11"/>
        </w:numPr>
        <w:rPr>
          <w:rFonts w:ascii="Calibri" w:eastAsia="Times New Roman" w:hAnsi="Calibri"/>
          <w:sz w:val="18"/>
          <w:szCs w:val="18"/>
        </w:rPr>
      </w:pPr>
      <w:r w:rsidRPr="00D43B01">
        <w:rPr>
          <w:rFonts w:ascii="Calibri" w:eastAsia="Times New Roman" w:hAnsi="Calibri"/>
          <w:b/>
          <w:bCs/>
          <w:sz w:val="18"/>
          <w:szCs w:val="18"/>
        </w:rPr>
        <w:t>3 units of laboratory science (4 recommended)</w:t>
      </w:r>
      <w:r w:rsidRPr="00D43B01">
        <w:rPr>
          <w:rFonts w:ascii="Calibri" w:eastAsia="Times New Roman" w:hAnsi="Calibri"/>
          <w:b/>
          <w:sz w:val="18"/>
          <w:szCs w:val="18"/>
        </w:rPr>
        <w:t xml:space="preserve"> -</w:t>
      </w:r>
      <w:r w:rsidRPr="00D43B01">
        <w:rPr>
          <w:rFonts w:ascii="Calibri" w:eastAsia="Times New Roman" w:hAnsi="Calibri"/>
          <w:sz w:val="18"/>
          <w:szCs w:val="18"/>
        </w:rPr>
        <w:t xml:space="preserve"> (does not include general science, with or without a lab) one year of principles of technology may substitute for one of the lab science courses, provided that the student also completes a traditional lab science course</w:t>
      </w:r>
    </w:p>
    <w:p w14:paraId="79BC674F" w14:textId="77777777" w:rsidR="00D43B01" w:rsidRPr="00D43B01" w:rsidRDefault="00D43B01" w:rsidP="00D43B01">
      <w:pPr>
        <w:pStyle w:val="ListParagraph"/>
        <w:numPr>
          <w:ilvl w:val="0"/>
          <w:numId w:val="11"/>
        </w:numPr>
        <w:rPr>
          <w:rFonts w:ascii="Calibri" w:eastAsia="Times New Roman" w:hAnsi="Calibri"/>
          <w:sz w:val="18"/>
          <w:szCs w:val="18"/>
        </w:rPr>
      </w:pPr>
      <w:r w:rsidRPr="00D43B01">
        <w:rPr>
          <w:rFonts w:ascii="Calibri" w:eastAsia="Times New Roman" w:hAnsi="Calibri"/>
          <w:b/>
          <w:bCs/>
          <w:sz w:val="18"/>
          <w:szCs w:val="18"/>
        </w:rPr>
        <w:t>3 units of history and citizenship</w:t>
      </w:r>
      <w:r w:rsidRPr="00D43B01">
        <w:rPr>
          <w:rFonts w:ascii="Calibri" w:eastAsia="Times New Roman" w:hAnsi="Calibri"/>
          <w:sz w:val="18"/>
          <w:szCs w:val="18"/>
        </w:rPr>
        <w:t xml:space="preserve"> - to include one unit of American history and two additional units from the subjects of history, economics, geography, government, non-western culture</w:t>
      </w:r>
    </w:p>
    <w:p w14:paraId="4BD42EDF" w14:textId="77777777" w:rsidR="00D43B01" w:rsidRPr="00D43B01" w:rsidRDefault="00D43B01" w:rsidP="00D43B01">
      <w:pPr>
        <w:pStyle w:val="ListParagraph"/>
        <w:numPr>
          <w:ilvl w:val="0"/>
          <w:numId w:val="11"/>
        </w:numPr>
        <w:rPr>
          <w:rFonts w:ascii="Calibri" w:eastAsia="Times New Roman" w:hAnsi="Calibri"/>
          <w:sz w:val="18"/>
          <w:szCs w:val="18"/>
        </w:rPr>
      </w:pPr>
      <w:r w:rsidRPr="00D43B01">
        <w:rPr>
          <w:rFonts w:ascii="Calibri" w:eastAsia="Times New Roman" w:hAnsi="Calibri"/>
          <w:b/>
          <w:bCs/>
          <w:sz w:val="18"/>
          <w:szCs w:val="18"/>
        </w:rPr>
        <w:t>2 additional units</w:t>
      </w:r>
      <w:r w:rsidRPr="00D43B01">
        <w:rPr>
          <w:rFonts w:ascii="Calibri" w:eastAsia="Times New Roman" w:hAnsi="Calibri"/>
          <w:b/>
          <w:sz w:val="18"/>
          <w:szCs w:val="18"/>
        </w:rPr>
        <w:t xml:space="preserve"> -</w:t>
      </w:r>
      <w:r w:rsidRPr="00D43B01">
        <w:rPr>
          <w:rFonts w:ascii="Calibri" w:eastAsia="Times New Roman" w:hAnsi="Calibri"/>
          <w:sz w:val="18"/>
          <w:szCs w:val="18"/>
        </w:rPr>
        <w:t xml:space="preserve"> from any of the subjects previously listed or computer science or foreign language. Two years of the same foreign language will satisfy the University's foreign language general education requirement. Any AP course not already used to satisfy the curricular units mentioned previously may be used to satisfy the two additional units except AP courses in Studio Art or International English</w:t>
      </w:r>
    </w:p>
    <w:p w14:paraId="58A2A5E3" w14:textId="16C7D996" w:rsidR="00D43B01" w:rsidRPr="00D43B01" w:rsidRDefault="00D43B01" w:rsidP="00D43B01">
      <w:pPr>
        <w:pStyle w:val="ListParagraph"/>
        <w:numPr>
          <w:ilvl w:val="0"/>
          <w:numId w:val="11"/>
        </w:numPr>
        <w:rPr>
          <w:rFonts w:ascii="Calibri" w:eastAsia="Times New Roman" w:hAnsi="Calibri"/>
          <w:sz w:val="18"/>
          <w:szCs w:val="18"/>
        </w:rPr>
      </w:pPr>
      <w:r w:rsidRPr="00D43B01">
        <w:rPr>
          <w:rFonts w:ascii="Calibri" w:eastAsia="Times New Roman" w:hAnsi="Calibri"/>
          <w:sz w:val="18"/>
          <w:szCs w:val="18"/>
        </w:rPr>
        <w:t>Coursework in music, art, drama or speech is also recommended.</w:t>
      </w:r>
    </w:p>
    <w:p w14:paraId="72C2D37F" w14:textId="7E99675F" w:rsidR="00D43B01" w:rsidRDefault="00D43B01" w:rsidP="00D43B01">
      <w:pPr>
        <w:pStyle w:val="Heading2"/>
      </w:pPr>
      <w:r w:rsidRPr="00AA140D">
        <w:t>FACTORS IN ADMISSION DECISIONS</w:t>
      </w:r>
    </w:p>
    <w:p w14:paraId="3738ADC4" w14:textId="77777777" w:rsidR="00D43B01" w:rsidRPr="00AA140D" w:rsidRDefault="00D43B01" w:rsidP="00D43B01">
      <w:pPr>
        <w:rPr>
          <w:rFonts w:eastAsia="Times New Roman"/>
        </w:rPr>
      </w:pPr>
      <w:r w:rsidRPr="00AA140D">
        <w:rPr>
          <w:rFonts w:eastAsia="Times New Roman"/>
        </w:rPr>
        <w:t>The primary factor in OU's first-year admission decisions is demonstrated academic achievement. The academic review focuses on three criteria:</w:t>
      </w:r>
    </w:p>
    <w:p w14:paraId="146F1125" w14:textId="77777777" w:rsidR="00D43B01" w:rsidRPr="00D43B01" w:rsidRDefault="00D43B01" w:rsidP="00D43B01">
      <w:pPr>
        <w:pStyle w:val="ListParagraph"/>
        <w:numPr>
          <w:ilvl w:val="0"/>
          <w:numId w:val="12"/>
        </w:numPr>
        <w:rPr>
          <w:rFonts w:ascii="Calibri" w:eastAsia="Times New Roman" w:hAnsi="Calibri"/>
          <w:sz w:val="18"/>
          <w:szCs w:val="18"/>
        </w:rPr>
      </w:pPr>
      <w:r w:rsidRPr="00D43B01">
        <w:rPr>
          <w:rFonts w:ascii="Calibri" w:eastAsia="Times New Roman" w:hAnsi="Calibri"/>
          <w:sz w:val="18"/>
          <w:szCs w:val="18"/>
        </w:rPr>
        <w:t>Grade point average (GPA) in core academic courses</w:t>
      </w:r>
    </w:p>
    <w:p w14:paraId="03F18339" w14:textId="77777777" w:rsidR="00D43B01" w:rsidRPr="00D43B01" w:rsidRDefault="00D43B01" w:rsidP="00D43B01">
      <w:pPr>
        <w:pStyle w:val="ListParagraph"/>
        <w:numPr>
          <w:ilvl w:val="0"/>
          <w:numId w:val="12"/>
        </w:numPr>
        <w:rPr>
          <w:rFonts w:ascii="Calibri" w:eastAsia="Times New Roman" w:hAnsi="Calibri"/>
          <w:sz w:val="18"/>
          <w:szCs w:val="18"/>
        </w:rPr>
      </w:pPr>
      <w:r w:rsidRPr="00D43B01">
        <w:rPr>
          <w:rFonts w:ascii="Calibri" w:eastAsia="Times New Roman" w:hAnsi="Calibri"/>
          <w:sz w:val="18"/>
          <w:szCs w:val="18"/>
        </w:rPr>
        <w:t>Rigor of course selection, and</w:t>
      </w:r>
    </w:p>
    <w:p w14:paraId="3DEE6B62" w14:textId="4CE76017" w:rsidR="00D43B01" w:rsidRPr="00D43B01" w:rsidRDefault="00D43B01" w:rsidP="00D43B01">
      <w:pPr>
        <w:pStyle w:val="ListParagraph"/>
        <w:numPr>
          <w:ilvl w:val="0"/>
          <w:numId w:val="12"/>
        </w:numPr>
        <w:rPr>
          <w:rFonts w:ascii="Calibri" w:eastAsia="Times New Roman" w:hAnsi="Calibri"/>
          <w:sz w:val="18"/>
          <w:szCs w:val="18"/>
        </w:rPr>
      </w:pPr>
      <w:r w:rsidRPr="00D43B01">
        <w:rPr>
          <w:rFonts w:ascii="Calibri" w:eastAsia="Times New Roman" w:hAnsi="Calibri"/>
          <w:sz w:val="18"/>
          <w:szCs w:val="18"/>
        </w:rPr>
        <w:t>ACT and/or SAT scores</w:t>
      </w:r>
    </w:p>
    <w:p w14:paraId="7E9A5E3F" w14:textId="77777777" w:rsidR="00D43B01" w:rsidRPr="00AA140D" w:rsidRDefault="00D43B01" w:rsidP="00D43B01">
      <w:pPr>
        <w:rPr>
          <w:rFonts w:eastAsia="Times New Roman"/>
        </w:rPr>
      </w:pPr>
      <w:r w:rsidRPr="00AA140D">
        <w:rPr>
          <w:rFonts w:eastAsia="Times New Roman"/>
        </w:rPr>
        <w:t>All applications also are reviewed for college preparatory courses in English, mathematics, science, social studies and foreign language.</w:t>
      </w:r>
    </w:p>
    <w:p w14:paraId="031E9A51" w14:textId="77777777" w:rsidR="00D43B01" w:rsidRDefault="00D43B01" w:rsidP="00D43B01">
      <w:pPr>
        <w:rPr>
          <w:rFonts w:eastAsia="Times New Roman"/>
        </w:rPr>
      </w:pPr>
    </w:p>
    <w:p w14:paraId="4812B99E" w14:textId="77777777" w:rsidR="00D43B01" w:rsidRPr="00AA140D" w:rsidRDefault="00D43B01" w:rsidP="00D43B01">
      <w:pPr>
        <w:rPr>
          <w:rFonts w:eastAsia="Times New Roman"/>
        </w:rPr>
      </w:pPr>
      <w:r w:rsidRPr="00AA140D">
        <w:rPr>
          <w:rFonts w:eastAsia="Times New Roman"/>
        </w:rPr>
        <w:t>OU's Admissions Committee and Office of Admissions staff have identified a number of additional factors that may be considered in admission decisions or merit scholarship awards.</w:t>
      </w:r>
    </w:p>
    <w:p w14:paraId="1167B1FA" w14:textId="77777777" w:rsidR="00D43B01" w:rsidRPr="00AA140D" w:rsidRDefault="00D43B01" w:rsidP="00D43B01">
      <w:pPr>
        <w:rPr>
          <w:rFonts w:eastAsia="Times New Roman"/>
        </w:rPr>
      </w:pPr>
      <w:r w:rsidRPr="00AA140D">
        <w:rPr>
          <w:rFonts w:eastAsia="Times New Roman"/>
        </w:rPr>
        <w:t>These include:</w:t>
      </w:r>
    </w:p>
    <w:p w14:paraId="52238A8D" w14:textId="77777777" w:rsidR="00D43B01" w:rsidRPr="00D43B01" w:rsidRDefault="00D43B01" w:rsidP="00D43B01">
      <w:pPr>
        <w:pStyle w:val="ListParagraph"/>
        <w:numPr>
          <w:ilvl w:val="0"/>
          <w:numId w:val="13"/>
        </w:numPr>
        <w:rPr>
          <w:rFonts w:ascii="Calibri" w:eastAsia="Times New Roman" w:hAnsi="Calibri"/>
          <w:sz w:val="18"/>
          <w:szCs w:val="18"/>
        </w:rPr>
      </w:pPr>
      <w:r w:rsidRPr="00D43B01">
        <w:rPr>
          <w:rFonts w:ascii="Calibri" w:eastAsia="Times New Roman" w:hAnsi="Calibri"/>
          <w:sz w:val="18"/>
          <w:szCs w:val="18"/>
        </w:rPr>
        <w:t>Excellence in academic achievement, intellectual pursuits and creative endeavors</w:t>
      </w:r>
    </w:p>
    <w:p w14:paraId="38872F0C" w14:textId="77777777" w:rsidR="00D43B01" w:rsidRPr="00D43B01" w:rsidRDefault="00D43B01" w:rsidP="00D43B01">
      <w:pPr>
        <w:pStyle w:val="ListParagraph"/>
        <w:numPr>
          <w:ilvl w:val="0"/>
          <w:numId w:val="13"/>
        </w:numPr>
        <w:rPr>
          <w:rFonts w:ascii="Calibri" w:eastAsia="Times New Roman" w:hAnsi="Calibri"/>
          <w:sz w:val="18"/>
          <w:szCs w:val="18"/>
        </w:rPr>
      </w:pPr>
      <w:r w:rsidRPr="00D43B01">
        <w:rPr>
          <w:rFonts w:ascii="Calibri" w:eastAsia="Times New Roman" w:hAnsi="Calibri"/>
          <w:sz w:val="18"/>
          <w:szCs w:val="18"/>
        </w:rPr>
        <w:t>An understanding of and respect for intellectual, social and cultural diversity</w:t>
      </w:r>
    </w:p>
    <w:p w14:paraId="3524A172" w14:textId="77777777" w:rsidR="00D43B01" w:rsidRPr="00D43B01" w:rsidRDefault="00D43B01" w:rsidP="00D43B01">
      <w:pPr>
        <w:pStyle w:val="ListParagraph"/>
        <w:numPr>
          <w:ilvl w:val="0"/>
          <w:numId w:val="13"/>
        </w:numPr>
        <w:rPr>
          <w:rFonts w:ascii="Calibri" w:eastAsia="Times New Roman" w:hAnsi="Calibri"/>
          <w:sz w:val="18"/>
          <w:szCs w:val="18"/>
        </w:rPr>
      </w:pPr>
      <w:r w:rsidRPr="00D43B01">
        <w:rPr>
          <w:rFonts w:ascii="Calibri" w:eastAsia="Times New Roman" w:hAnsi="Calibri"/>
          <w:sz w:val="18"/>
          <w:szCs w:val="18"/>
        </w:rPr>
        <w:t>Commitment to citizenship through public service, community involvement, school activities, leadership and/or family</w:t>
      </w:r>
    </w:p>
    <w:p w14:paraId="59527432" w14:textId="77777777" w:rsidR="00D43B01" w:rsidRPr="00D43B01" w:rsidRDefault="00D43B01" w:rsidP="00D43B01">
      <w:pPr>
        <w:pStyle w:val="ListParagraph"/>
        <w:numPr>
          <w:ilvl w:val="0"/>
          <w:numId w:val="13"/>
        </w:numPr>
        <w:rPr>
          <w:rFonts w:ascii="Calibri" w:eastAsia="Times New Roman" w:hAnsi="Calibri"/>
          <w:sz w:val="18"/>
          <w:szCs w:val="18"/>
        </w:rPr>
      </w:pPr>
      <w:r w:rsidRPr="00D43B01">
        <w:rPr>
          <w:rFonts w:ascii="Calibri" w:eastAsia="Times New Roman" w:hAnsi="Calibri"/>
          <w:sz w:val="18"/>
          <w:szCs w:val="18"/>
        </w:rPr>
        <w:t>Integrity and maturity, and</w:t>
      </w:r>
    </w:p>
    <w:p w14:paraId="041E6153" w14:textId="2557B64C" w:rsidR="00D43B01" w:rsidRPr="00D43B01" w:rsidRDefault="00D43B01" w:rsidP="00D43B01">
      <w:pPr>
        <w:pStyle w:val="ListParagraph"/>
        <w:numPr>
          <w:ilvl w:val="0"/>
          <w:numId w:val="13"/>
        </w:numPr>
        <w:rPr>
          <w:rFonts w:ascii="Calibri" w:eastAsia="Times New Roman" w:hAnsi="Calibri"/>
          <w:sz w:val="18"/>
          <w:szCs w:val="18"/>
        </w:rPr>
      </w:pPr>
      <w:r w:rsidRPr="00D43B01">
        <w:rPr>
          <w:rFonts w:ascii="Calibri" w:eastAsia="Times New Roman" w:hAnsi="Calibri"/>
          <w:sz w:val="18"/>
          <w:szCs w:val="18"/>
        </w:rPr>
        <w:t>Recognition of benefits of a culturally and intellectually diverse academic community.</w:t>
      </w:r>
    </w:p>
    <w:p w14:paraId="1C88565E" w14:textId="00691E1C" w:rsidR="00D43B01" w:rsidRPr="00AA140D" w:rsidRDefault="00D43B01" w:rsidP="00D43B01">
      <w:pPr>
        <w:pStyle w:val="Heading2"/>
      </w:pPr>
      <w:r w:rsidRPr="00AA140D">
        <w:t>ADDITIONAL FACTORS IN ADMISSION DECISIONS</w:t>
      </w:r>
    </w:p>
    <w:p w14:paraId="356603E1" w14:textId="77777777" w:rsidR="00D43B01" w:rsidRPr="00AA140D" w:rsidRDefault="00D43B01" w:rsidP="00D43B01">
      <w:pPr>
        <w:rPr>
          <w:rFonts w:eastAsia="Times New Roman"/>
        </w:rPr>
      </w:pPr>
      <w:r w:rsidRPr="00AA140D">
        <w:rPr>
          <w:rFonts w:eastAsia="Times New Roman"/>
        </w:rPr>
        <w:t>OU's Admission Committee appreciates the importance of considering other factors beyond academic achievement to discern an applicant's overall abilities. Therefore, a more comprehensive review of a student's entire application file will occur after the initial academic review. The University will consider information gathered from many sources beyond a first-year applicant's transcript and test scores including, but not limited to:</w:t>
      </w:r>
    </w:p>
    <w:p w14:paraId="25AF9D44" w14:textId="77777777" w:rsidR="00D43B01" w:rsidRPr="00D43B01" w:rsidRDefault="00D43B01" w:rsidP="00D43B01">
      <w:pPr>
        <w:pStyle w:val="ListParagraph"/>
        <w:numPr>
          <w:ilvl w:val="0"/>
          <w:numId w:val="14"/>
        </w:numPr>
        <w:rPr>
          <w:rFonts w:ascii="Calibri" w:eastAsia="Times New Roman" w:hAnsi="Calibri"/>
          <w:sz w:val="18"/>
          <w:szCs w:val="18"/>
        </w:rPr>
      </w:pPr>
      <w:r w:rsidRPr="00D43B01">
        <w:rPr>
          <w:rFonts w:ascii="Calibri" w:eastAsia="Times New Roman" w:hAnsi="Calibri"/>
          <w:sz w:val="18"/>
          <w:szCs w:val="18"/>
        </w:rPr>
        <w:t>Application essay and short answers</w:t>
      </w:r>
    </w:p>
    <w:p w14:paraId="5D30FAF7" w14:textId="77777777" w:rsidR="00D43B01" w:rsidRPr="00D43B01" w:rsidRDefault="00D43B01" w:rsidP="00D43B01">
      <w:pPr>
        <w:pStyle w:val="ListParagraph"/>
        <w:numPr>
          <w:ilvl w:val="0"/>
          <w:numId w:val="14"/>
        </w:numPr>
        <w:rPr>
          <w:rFonts w:ascii="Calibri" w:eastAsia="Times New Roman" w:hAnsi="Calibri"/>
          <w:sz w:val="18"/>
          <w:szCs w:val="18"/>
        </w:rPr>
      </w:pPr>
      <w:r w:rsidRPr="00D43B01">
        <w:rPr>
          <w:rFonts w:ascii="Calibri" w:eastAsia="Times New Roman" w:hAnsi="Calibri"/>
          <w:sz w:val="18"/>
          <w:szCs w:val="18"/>
        </w:rPr>
        <w:t>School and community activities, leadership positions and awards, and</w:t>
      </w:r>
    </w:p>
    <w:p w14:paraId="7FCE3C71" w14:textId="3BAD9BAD" w:rsidR="00B441CE" w:rsidRPr="00D43B01" w:rsidRDefault="00D43B01" w:rsidP="00D43B01">
      <w:pPr>
        <w:pStyle w:val="ListParagraph"/>
        <w:numPr>
          <w:ilvl w:val="0"/>
          <w:numId w:val="14"/>
        </w:numPr>
        <w:rPr>
          <w:rFonts w:ascii="Calibri" w:eastAsia="Times New Roman" w:hAnsi="Calibri"/>
          <w:sz w:val="18"/>
          <w:szCs w:val="18"/>
        </w:rPr>
      </w:pPr>
      <w:r w:rsidRPr="00D43B01">
        <w:rPr>
          <w:rFonts w:ascii="Calibri" w:eastAsia="Times New Roman" w:hAnsi="Calibri"/>
          <w:sz w:val="18"/>
          <w:szCs w:val="18"/>
        </w:rPr>
        <w:t>Participation in athletics and work experience, summer activities and special circumstances.</w:t>
      </w:r>
    </w:p>
    <w:sectPr w:rsidR="00B441CE" w:rsidRPr="00D43B01"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E088" w14:textId="77777777" w:rsidR="006C3039" w:rsidRDefault="006C3039" w:rsidP="000858BD">
      <w:r>
        <w:separator/>
      </w:r>
    </w:p>
  </w:endnote>
  <w:endnote w:type="continuationSeparator" w:id="0">
    <w:p w14:paraId="3B74FC8A" w14:textId="77777777" w:rsidR="006C3039" w:rsidRDefault="006C3039"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0B39D81E" w:rsidR="005B2A6C" w:rsidRDefault="00502A31" w:rsidP="000858BD">
                          <w:pPr>
                            <w:tabs>
                              <w:tab w:val="right" w:pos="7740"/>
                            </w:tabs>
                            <w:jc w:val="right"/>
                            <w:rPr>
                              <w:b/>
                              <w:sz w:val="22"/>
                              <w:szCs w:val="22"/>
                            </w:rPr>
                          </w:pPr>
                          <w:r>
                            <w:rPr>
                              <w:b/>
                              <w:sz w:val="22"/>
                              <w:szCs w:val="22"/>
                            </w:rPr>
                            <w:t>COLLEGE ADMISSIONS, PART 2</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0B39D81E" w:rsidR="005B2A6C" w:rsidRDefault="00502A31" w:rsidP="000858BD">
                    <w:pPr>
                      <w:tabs>
                        <w:tab w:val="right" w:pos="7740"/>
                      </w:tabs>
                      <w:jc w:val="right"/>
                      <w:rPr>
                        <w:b/>
                        <w:sz w:val="22"/>
                        <w:szCs w:val="22"/>
                      </w:rPr>
                    </w:pPr>
                    <w:r>
                      <w:rPr>
                        <w:b/>
                        <w:sz w:val="22"/>
                        <w:szCs w:val="22"/>
                      </w:rPr>
                      <w:t>COLLEGE ADMISSIONS, PART 2</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44F3" w14:textId="77777777" w:rsidR="006C3039" w:rsidRDefault="006C3039" w:rsidP="000858BD">
      <w:r>
        <w:separator/>
      </w:r>
    </w:p>
  </w:footnote>
  <w:footnote w:type="continuationSeparator" w:id="0">
    <w:p w14:paraId="5BB1AAE6" w14:textId="77777777" w:rsidR="006C3039" w:rsidRDefault="006C3039"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E8A"/>
    <w:multiLevelType w:val="hybridMultilevel"/>
    <w:tmpl w:val="24D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63EB"/>
    <w:multiLevelType w:val="hybridMultilevel"/>
    <w:tmpl w:val="E3F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1BF4"/>
    <w:multiLevelType w:val="hybridMultilevel"/>
    <w:tmpl w:val="101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84EF0"/>
    <w:multiLevelType w:val="multilevel"/>
    <w:tmpl w:val="05D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41BA1"/>
    <w:multiLevelType w:val="hybridMultilevel"/>
    <w:tmpl w:val="505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97C89"/>
    <w:multiLevelType w:val="hybridMultilevel"/>
    <w:tmpl w:val="37D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F0E54"/>
    <w:multiLevelType w:val="multilevel"/>
    <w:tmpl w:val="C612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44190"/>
    <w:multiLevelType w:val="hybridMultilevel"/>
    <w:tmpl w:val="D8B4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418C5"/>
    <w:multiLevelType w:val="hybridMultilevel"/>
    <w:tmpl w:val="CEEC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A2E27"/>
    <w:multiLevelType w:val="multilevel"/>
    <w:tmpl w:val="9B0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23EF"/>
    <w:multiLevelType w:val="hybridMultilevel"/>
    <w:tmpl w:val="967C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97A75"/>
    <w:multiLevelType w:val="multilevel"/>
    <w:tmpl w:val="4D3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490DBE"/>
    <w:multiLevelType w:val="hybridMultilevel"/>
    <w:tmpl w:val="B76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A6725"/>
    <w:multiLevelType w:val="hybridMultilevel"/>
    <w:tmpl w:val="61DE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073265">
    <w:abstractNumId w:val="6"/>
  </w:num>
  <w:num w:numId="2" w16cid:durableId="359404100">
    <w:abstractNumId w:val="4"/>
  </w:num>
  <w:num w:numId="3" w16cid:durableId="721947786">
    <w:abstractNumId w:val="12"/>
  </w:num>
  <w:num w:numId="4" w16cid:durableId="832843693">
    <w:abstractNumId w:val="5"/>
  </w:num>
  <w:num w:numId="5" w16cid:durableId="1635679351">
    <w:abstractNumId w:val="8"/>
  </w:num>
  <w:num w:numId="6" w16cid:durableId="1948853913">
    <w:abstractNumId w:val="10"/>
  </w:num>
  <w:num w:numId="7" w16cid:durableId="814490279">
    <w:abstractNumId w:val="9"/>
  </w:num>
  <w:num w:numId="8" w16cid:durableId="1762411937">
    <w:abstractNumId w:val="3"/>
  </w:num>
  <w:num w:numId="9" w16cid:durableId="814875018">
    <w:abstractNumId w:val="13"/>
  </w:num>
  <w:num w:numId="10" w16cid:durableId="2014412476">
    <w:abstractNumId w:val="11"/>
  </w:num>
  <w:num w:numId="11" w16cid:durableId="1240822088">
    <w:abstractNumId w:val="7"/>
  </w:num>
  <w:num w:numId="12" w16cid:durableId="56712948">
    <w:abstractNumId w:val="0"/>
  </w:num>
  <w:num w:numId="13" w16cid:durableId="1521701798">
    <w:abstractNumId w:val="2"/>
  </w:num>
  <w:num w:numId="14" w16cid:durableId="1610239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1581D"/>
    <w:rsid w:val="00502A31"/>
    <w:rsid w:val="005B2A6C"/>
    <w:rsid w:val="006C3039"/>
    <w:rsid w:val="00895EAC"/>
    <w:rsid w:val="00A57937"/>
    <w:rsid w:val="00A841D3"/>
    <w:rsid w:val="00AB38AC"/>
    <w:rsid w:val="00AC2386"/>
    <w:rsid w:val="00B441CE"/>
    <w:rsid w:val="00D43B01"/>
    <w:rsid w:val="00D77E23"/>
    <w:rsid w:val="00E4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502A31"/>
    <w:pPr>
      <w:tabs>
        <w:tab w:val="center" w:pos="4680"/>
        <w:tab w:val="right" w:pos="9360"/>
      </w:tabs>
    </w:pPr>
  </w:style>
  <w:style w:type="character" w:customStyle="1" w:styleId="FooterChar">
    <w:name w:val="Footer Char"/>
    <w:basedOn w:val="DefaultParagraphFont"/>
    <w:link w:val="Footer"/>
    <w:uiPriority w:val="99"/>
    <w:rsid w:val="00502A31"/>
    <w:rPr>
      <w:rFonts w:ascii="Calibri" w:hAnsi="Calibri"/>
      <w:color w:val="2E2E2E" w:themeColor="text1"/>
      <w:sz w:val="18"/>
    </w:rPr>
  </w:style>
  <w:style w:type="paragraph" w:styleId="ListParagraph">
    <w:name w:val="List Paragraph"/>
    <w:basedOn w:val="Normal"/>
    <w:uiPriority w:val="34"/>
    <w:qFormat/>
    <w:rsid w:val="00502A31"/>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Admissions, Part 2</dc:title>
  <dc:subject/>
  <dc:creator>K20 Center</dc:creator>
  <cp:keywords/>
  <dc:description/>
  <cp:lastModifiedBy>Bigler, Elijah B.</cp:lastModifiedBy>
  <cp:revision>3</cp:revision>
  <dcterms:created xsi:type="dcterms:W3CDTF">2015-09-21T19:22:00Z</dcterms:created>
  <dcterms:modified xsi:type="dcterms:W3CDTF">2023-07-06T18:38:00Z</dcterms:modified>
</cp:coreProperties>
</file>