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49AF" w14:textId="1087F403" w:rsidR="002306C9" w:rsidRDefault="002306C9" w:rsidP="002306C9">
      <w:pPr>
        <w:pStyle w:val="Heading1"/>
      </w:pPr>
      <w:r>
        <w:rPr>
          <w:lang w:val="es"/>
        </w:rPr>
        <w:t>UNIVERSIDAD DE CIENCIAS Y ARTES DE OKLAHOMA – CHICKASHA</w:t>
      </w:r>
    </w:p>
    <w:p w14:paraId="665B9BAB" w14:textId="4B12ABC0" w:rsidR="002306C9" w:rsidRPr="00187B4D" w:rsidRDefault="00A106A1" w:rsidP="00187B4D">
      <w:pPr>
        <w:pStyle w:val="Heading2"/>
      </w:pPr>
      <w:r>
        <w:rPr>
          <w:lang w:val="es"/>
        </w:rPr>
        <w:t>REQUISITOS DE ADMISIÓN</w:t>
      </w:r>
    </w:p>
    <w:p w14:paraId="636FEC1A" w14:textId="77777777" w:rsidR="002306C9" w:rsidRDefault="002306C9" w:rsidP="002306C9">
      <w:r>
        <w:rPr>
          <w:lang w:val="es"/>
        </w:rPr>
        <w:t>La Universidad de Ciencias y Artes de Oklahoma se esfuerza por reclutar a estudiantes creativos, inteligentes y motivados que serán una gran adición a la Universidad y que además podrán aprovechar una educación en humanidades.</w:t>
      </w:r>
    </w:p>
    <w:p w14:paraId="4CB8E5B3" w14:textId="77777777" w:rsidR="002306C9" w:rsidRPr="00A06403" w:rsidRDefault="002306C9" w:rsidP="002306C9"/>
    <w:p w14:paraId="3480F2BF" w14:textId="56613118" w:rsidR="002306C9" w:rsidRPr="00A06403" w:rsidRDefault="002306C9" w:rsidP="002306C9">
      <w:r>
        <w:rPr>
          <w:lang w:val="es"/>
        </w:rPr>
        <w:t xml:space="preserve">Entendemos que hay muchos factores diferentes que pueden hacer que alguien sea un estudiante destacado en nuestra Universidad, y nuestro proceso de solicitud lo refleja. La Universidad de Ciencias y Artes de Oklahoma utiliza una combinación de diferentes cualidades para evaluar la admisión de cada persona. </w:t>
      </w:r>
    </w:p>
    <w:p w14:paraId="51ED4780" w14:textId="52A9C7C2" w:rsidR="002306C9" w:rsidRPr="00A06403" w:rsidRDefault="002306C9" w:rsidP="002306C9">
      <w:pPr>
        <w:pStyle w:val="Heading2"/>
      </w:pPr>
      <w:r>
        <w:rPr>
          <w:lang w:val="es"/>
        </w:rPr>
        <w:t>CRITERIOS DE ADMISIÓN</w:t>
      </w:r>
    </w:p>
    <w:p w14:paraId="16DCE998" w14:textId="77777777" w:rsidR="002306C9" w:rsidRPr="002306C9" w:rsidRDefault="002306C9" w:rsidP="002306C9">
      <w:pPr>
        <w:pStyle w:val="ListParagraph"/>
        <w:numPr>
          <w:ilvl w:val="0"/>
          <w:numId w:val="18"/>
        </w:numPr>
        <w:rPr>
          <w:rFonts w:ascii="Calibri" w:hAnsi="Calibri"/>
          <w:sz w:val="18"/>
          <w:szCs w:val="18"/>
        </w:rPr>
      </w:pPr>
      <w:r>
        <w:rPr>
          <w:rFonts w:ascii="Calibri" w:hAnsi="Calibri"/>
          <w:sz w:val="18"/>
          <w:szCs w:val="18"/>
          <w:lang w:val="es"/>
        </w:rPr>
        <w:t xml:space="preserve">Opción A: Un GPA de </w:t>
      </w:r>
      <w:proofErr w:type="gramStart"/>
      <w:r>
        <w:rPr>
          <w:rFonts w:ascii="Calibri" w:hAnsi="Calibri"/>
          <w:sz w:val="18"/>
          <w:szCs w:val="18"/>
          <w:lang w:val="es"/>
        </w:rPr>
        <w:t>3.0  en</w:t>
      </w:r>
      <w:proofErr w:type="gramEnd"/>
      <w:r>
        <w:rPr>
          <w:rFonts w:ascii="Calibri" w:hAnsi="Calibri"/>
          <w:sz w:val="18"/>
          <w:szCs w:val="18"/>
          <w:lang w:val="es"/>
        </w:rPr>
        <w:t xml:space="preserve"> un programa básico de 15 unidades en una escala de 4.0, y ACT=22 o SAT=102.</w:t>
      </w:r>
    </w:p>
    <w:p w14:paraId="33FA3BDE" w14:textId="77777777" w:rsidR="002306C9" w:rsidRPr="002306C9" w:rsidRDefault="002306C9" w:rsidP="002306C9">
      <w:pPr>
        <w:pStyle w:val="ListParagraph"/>
        <w:numPr>
          <w:ilvl w:val="0"/>
          <w:numId w:val="18"/>
        </w:numPr>
        <w:rPr>
          <w:rFonts w:ascii="Calibri" w:hAnsi="Calibri"/>
          <w:sz w:val="18"/>
          <w:szCs w:val="18"/>
        </w:rPr>
      </w:pPr>
      <w:r>
        <w:rPr>
          <w:rFonts w:ascii="Calibri" w:hAnsi="Calibri"/>
          <w:sz w:val="18"/>
          <w:szCs w:val="18"/>
          <w:lang w:val="es"/>
        </w:rPr>
        <w:t>Opción B: Un GPA de 3.0 en una escala de 4.0 y haber clasificado entre el 25% de los mejores estudiantes.</w:t>
      </w:r>
    </w:p>
    <w:p w14:paraId="65D76085" w14:textId="69A55AD4" w:rsidR="002306C9" w:rsidRPr="002306C9" w:rsidRDefault="002306C9" w:rsidP="002306C9">
      <w:pPr>
        <w:pStyle w:val="ListParagraph"/>
        <w:numPr>
          <w:ilvl w:val="0"/>
          <w:numId w:val="18"/>
        </w:numPr>
        <w:rPr>
          <w:rFonts w:ascii="Calibri" w:hAnsi="Calibri"/>
          <w:sz w:val="18"/>
          <w:szCs w:val="18"/>
        </w:rPr>
      </w:pPr>
      <w:r>
        <w:rPr>
          <w:rFonts w:ascii="Calibri" w:hAnsi="Calibri"/>
          <w:sz w:val="18"/>
          <w:szCs w:val="18"/>
          <w:lang w:val="es"/>
        </w:rPr>
        <w:t>Opción C: ACT=24 o SAT=1090 y 3.0 o estar entre el 50% de los mejores de tu clase en la escuela secundaria.</w:t>
      </w:r>
    </w:p>
    <w:p w14:paraId="129EB652" w14:textId="77777777" w:rsidR="002306C9" w:rsidRDefault="002306C9" w:rsidP="002306C9">
      <w:pPr>
        <w:pStyle w:val="Heading2"/>
      </w:pPr>
      <w:r>
        <w:rPr>
          <w:lang w:val="es"/>
        </w:rPr>
        <w:t>REQUISITOS CURRICULARES DE LA ESCUELA SECUNDARIA</w:t>
      </w:r>
    </w:p>
    <w:p w14:paraId="6DC51FC2" w14:textId="77777777" w:rsidR="002306C9" w:rsidRPr="002306C9" w:rsidRDefault="002306C9" w:rsidP="002306C9">
      <w:pPr>
        <w:pStyle w:val="ListParagraph"/>
        <w:numPr>
          <w:ilvl w:val="0"/>
          <w:numId w:val="19"/>
        </w:numPr>
        <w:rPr>
          <w:rFonts w:ascii="Calibri" w:hAnsi="Calibri"/>
          <w:b/>
          <w:bCs/>
          <w:sz w:val="18"/>
          <w:szCs w:val="18"/>
        </w:rPr>
      </w:pPr>
      <w:r>
        <w:rPr>
          <w:rFonts w:ascii="Calibri" w:hAnsi="Calibri"/>
          <w:sz w:val="18"/>
          <w:szCs w:val="18"/>
          <w:lang w:val="es"/>
        </w:rPr>
        <w:t>15 unidades totales - unidades requeridas (sujeto a cambios según los requisitos del estado).</w:t>
      </w:r>
    </w:p>
    <w:p w14:paraId="3E60499E" w14:textId="77777777" w:rsidR="002306C9" w:rsidRPr="002306C9" w:rsidRDefault="002306C9" w:rsidP="002306C9">
      <w:pPr>
        <w:pStyle w:val="ListParagraph"/>
        <w:numPr>
          <w:ilvl w:val="0"/>
          <w:numId w:val="19"/>
        </w:numPr>
        <w:rPr>
          <w:rFonts w:ascii="Calibri" w:hAnsi="Calibri"/>
          <w:sz w:val="18"/>
          <w:szCs w:val="18"/>
        </w:rPr>
      </w:pPr>
      <w:r>
        <w:rPr>
          <w:rFonts w:ascii="Calibri" w:hAnsi="Calibri"/>
          <w:sz w:val="18"/>
          <w:szCs w:val="18"/>
          <w:lang w:val="es"/>
        </w:rPr>
        <w:t xml:space="preserve">4 unidades - </w:t>
      </w:r>
      <w:proofErr w:type="gramStart"/>
      <w:r>
        <w:rPr>
          <w:rFonts w:ascii="Calibri" w:hAnsi="Calibri"/>
          <w:sz w:val="18"/>
          <w:szCs w:val="18"/>
          <w:lang w:val="es"/>
        </w:rPr>
        <w:t>Inglés</w:t>
      </w:r>
      <w:proofErr w:type="gramEnd"/>
      <w:r>
        <w:rPr>
          <w:rFonts w:ascii="Calibri" w:hAnsi="Calibri"/>
          <w:sz w:val="18"/>
          <w:szCs w:val="18"/>
          <w:lang w:val="es"/>
        </w:rPr>
        <w:t xml:space="preserve"> (Gramática, Composición, Literatura).</w:t>
      </w:r>
    </w:p>
    <w:p w14:paraId="0EF4FADB" w14:textId="77777777" w:rsidR="002306C9" w:rsidRPr="002306C9" w:rsidRDefault="002306C9" w:rsidP="002306C9">
      <w:pPr>
        <w:pStyle w:val="ListParagraph"/>
        <w:numPr>
          <w:ilvl w:val="0"/>
          <w:numId w:val="19"/>
        </w:numPr>
        <w:rPr>
          <w:rFonts w:ascii="Calibri" w:hAnsi="Calibri"/>
          <w:sz w:val="18"/>
          <w:szCs w:val="18"/>
        </w:rPr>
      </w:pPr>
      <w:r>
        <w:rPr>
          <w:rFonts w:ascii="Calibri" w:hAnsi="Calibri"/>
          <w:sz w:val="18"/>
          <w:szCs w:val="18"/>
          <w:lang w:val="es"/>
        </w:rPr>
        <w:t>3 unidades - Ciencias de laboratorio (Biología, Química, Física o cualquier ciencia de laboratorio certificada por el distrito escolar; Ciencias Generales con o sin laboratorio no pueden utilizarse para cumplir este requisito).</w:t>
      </w:r>
    </w:p>
    <w:p w14:paraId="67486FD5" w14:textId="77777777" w:rsidR="002306C9" w:rsidRPr="002306C9" w:rsidRDefault="002306C9" w:rsidP="002306C9">
      <w:pPr>
        <w:pStyle w:val="ListParagraph"/>
        <w:numPr>
          <w:ilvl w:val="0"/>
          <w:numId w:val="19"/>
        </w:numPr>
        <w:rPr>
          <w:rFonts w:ascii="Calibri" w:hAnsi="Calibri"/>
          <w:sz w:val="18"/>
          <w:szCs w:val="18"/>
        </w:rPr>
      </w:pPr>
      <w:r>
        <w:rPr>
          <w:rFonts w:ascii="Calibri" w:hAnsi="Calibri"/>
          <w:sz w:val="18"/>
          <w:szCs w:val="18"/>
          <w:lang w:val="es"/>
        </w:rPr>
        <w:t>3 unidades - Matemáticas (de Álgebra I, Álgebra II, Geometría, Trigonometría, Análisis Matemático, Precálculo, Cálculo, Estadística de nivel avanzado).</w:t>
      </w:r>
    </w:p>
    <w:p w14:paraId="60F73B22" w14:textId="77777777" w:rsidR="002306C9" w:rsidRPr="002306C9" w:rsidRDefault="002306C9" w:rsidP="002306C9">
      <w:pPr>
        <w:pStyle w:val="ListParagraph"/>
        <w:numPr>
          <w:ilvl w:val="0"/>
          <w:numId w:val="19"/>
        </w:numPr>
        <w:rPr>
          <w:rFonts w:ascii="Calibri" w:hAnsi="Calibri"/>
          <w:sz w:val="18"/>
          <w:szCs w:val="18"/>
        </w:rPr>
      </w:pPr>
      <w:r>
        <w:rPr>
          <w:rFonts w:ascii="Calibri" w:hAnsi="Calibri"/>
          <w:sz w:val="18"/>
          <w:szCs w:val="18"/>
          <w:lang w:val="es"/>
        </w:rPr>
        <w:t>3 unidades - Historia y competencias ciudadanas (incluida una unidad de Historia de los Estados Unidos y dos unidades adicionales de Historia, Economía, Gobierno, Geografía o Cultura no occidental).</w:t>
      </w:r>
    </w:p>
    <w:p w14:paraId="4AACA9E4" w14:textId="1EB72AF0" w:rsidR="002306C9" w:rsidRPr="002306C9" w:rsidRDefault="002306C9" w:rsidP="002306C9">
      <w:pPr>
        <w:pStyle w:val="ListParagraph"/>
        <w:numPr>
          <w:ilvl w:val="0"/>
          <w:numId w:val="19"/>
        </w:numPr>
        <w:rPr>
          <w:rFonts w:ascii="Calibri" w:hAnsi="Calibri"/>
          <w:sz w:val="18"/>
          <w:szCs w:val="18"/>
        </w:rPr>
      </w:pPr>
      <w:r>
        <w:rPr>
          <w:rFonts w:ascii="Calibri" w:hAnsi="Calibri"/>
          <w:sz w:val="18"/>
          <w:szCs w:val="18"/>
          <w:lang w:val="es"/>
        </w:rPr>
        <w:t>2 unidades - asignaturas electivas (de Lengua Extranjera, Informática, cualquier curso de nivel avanzado excepto cursos aplicados en Bellas Artes o cualquier otro mencionado anteriormente).</w:t>
      </w:r>
    </w:p>
    <w:p w14:paraId="5CFE732E" w14:textId="77777777" w:rsidR="002306C9" w:rsidRPr="00A06403" w:rsidRDefault="002306C9" w:rsidP="002306C9">
      <w:r>
        <w:rPr>
          <w:lang w:val="es"/>
        </w:rPr>
        <w:t>Si bien estos requisitos curriculares serán normalmente cumplidos por los estudiantes de los grados 9 a 12, los estudiantes avanzados que completen estos cursos en grados anteriores no tendrán que tomar cursos adicionales para fines de admisión.</w:t>
      </w:r>
    </w:p>
    <w:p w14:paraId="2895A65F" w14:textId="77777777" w:rsidR="002306C9" w:rsidRDefault="002306C9" w:rsidP="002306C9"/>
    <w:p w14:paraId="101C4B41" w14:textId="77777777" w:rsidR="002306C9" w:rsidRPr="00A06403" w:rsidRDefault="002306C9" w:rsidP="002306C9">
      <w:r>
        <w:rPr>
          <w:lang w:val="es"/>
        </w:rPr>
        <w:t xml:space="preserve">Los estudiantes deben cumplir todos los requisitos curriculares para ser admitidos. Los estudiantes con una deficiencia en un curso no básico (que no sea </w:t>
      </w:r>
      <w:proofErr w:type="gramStart"/>
      <w:r>
        <w:rPr>
          <w:lang w:val="es"/>
        </w:rPr>
        <w:t>Inglés</w:t>
      </w:r>
      <w:proofErr w:type="gramEnd"/>
      <w:r>
        <w:rPr>
          <w:lang w:val="es"/>
        </w:rPr>
        <w:t xml:space="preserve">, Matemáticas y Ciencias) que presenten una </w:t>
      </w:r>
      <w:proofErr w:type="spellStart"/>
      <w:r>
        <w:rPr>
          <w:lang w:val="es"/>
        </w:rPr>
        <w:t>subpuntuación</w:t>
      </w:r>
      <w:proofErr w:type="spellEnd"/>
      <w:r>
        <w:rPr>
          <w:lang w:val="es"/>
        </w:rPr>
        <w:t xml:space="preserve"> de 19 o más en la sección de Lectura del ACT pueden ser admitidos como estudiantes de admisión regular. Estos estudiantes deberán completar un curso universitario adicional de tres horas en la asignatura correspondiente para compensar la deficiencia de la escuela secundaria.</w:t>
      </w:r>
    </w:p>
    <w:p w14:paraId="287FADB1" w14:textId="77777777" w:rsidR="002306C9" w:rsidRDefault="002306C9" w:rsidP="002306C9"/>
    <w:p w14:paraId="4537382A" w14:textId="77777777" w:rsidR="002306C9" w:rsidRPr="00A06403" w:rsidRDefault="002306C9" w:rsidP="002306C9">
      <w:r>
        <w:rPr>
          <w:lang w:val="es"/>
        </w:rPr>
        <w:t>Además, se recomiendan las siguientes asignaturas para la preparación universitaria:</w:t>
      </w:r>
    </w:p>
    <w:p w14:paraId="72728D6E" w14:textId="77777777" w:rsidR="002306C9" w:rsidRPr="002306C9" w:rsidRDefault="002306C9" w:rsidP="002306C9">
      <w:pPr>
        <w:pStyle w:val="ListParagraph"/>
        <w:numPr>
          <w:ilvl w:val="0"/>
          <w:numId w:val="20"/>
        </w:numPr>
        <w:rPr>
          <w:rFonts w:ascii="Calibri" w:hAnsi="Calibri"/>
          <w:sz w:val="18"/>
          <w:szCs w:val="18"/>
        </w:rPr>
      </w:pPr>
      <w:r>
        <w:rPr>
          <w:rFonts w:ascii="Calibri" w:hAnsi="Calibri"/>
          <w:sz w:val="18"/>
          <w:szCs w:val="18"/>
          <w:lang w:val="es"/>
        </w:rPr>
        <w:t>2 unidades adicionales: Bellas Artes (Música, Arte, Teatro, Expresión Oral).</w:t>
      </w:r>
    </w:p>
    <w:p w14:paraId="2FA89D90" w14:textId="77777777" w:rsidR="002306C9" w:rsidRPr="002306C9" w:rsidRDefault="002306C9" w:rsidP="002306C9">
      <w:pPr>
        <w:pStyle w:val="ListParagraph"/>
        <w:numPr>
          <w:ilvl w:val="0"/>
          <w:numId w:val="20"/>
        </w:numPr>
        <w:rPr>
          <w:rFonts w:ascii="Calibri" w:hAnsi="Calibri"/>
          <w:sz w:val="18"/>
          <w:szCs w:val="18"/>
        </w:rPr>
      </w:pPr>
      <w:r>
        <w:rPr>
          <w:rFonts w:ascii="Calibri" w:hAnsi="Calibri"/>
          <w:sz w:val="18"/>
          <w:szCs w:val="18"/>
          <w:lang w:val="es"/>
        </w:rPr>
        <w:t>1 unidad adicional: Ciencias de laboratorio (según lo descrito anteriormente).</w:t>
      </w:r>
    </w:p>
    <w:p w14:paraId="72B166AA" w14:textId="77777777" w:rsidR="002306C9" w:rsidRPr="002306C9" w:rsidRDefault="002306C9" w:rsidP="002306C9">
      <w:pPr>
        <w:pStyle w:val="ListParagraph"/>
        <w:numPr>
          <w:ilvl w:val="0"/>
          <w:numId w:val="20"/>
        </w:numPr>
        <w:rPr>
          <w:rFonts w:ascii="Calibri" w:hAnsi="Calibri"/>
          <w:sz w:val="18"/>
          <w:szCs w:val="18"/>
        </w:rPr>
      </w:pPr>
      <w:r>
        <w:rPr>
          <w:rFonts w:ascii="Calibri" w:hAnsi="Calibri"/>
          <w:sz w:val="18"/>
          <w:szCs w:val="18"/>
          <w:lang w:val="es"/>
        </w:rPr>
        <w:t>1 unidad adicional: Matemáticas (según lo descrito anteriormente).</w:t>
      </w:r>
    </w:p>
    <w:p w14:paraId="1ABC814B" w14:textId="77777777" w:rsidR="002306C9" w:rsidRPr="002306C9" w:rsidRDefault="002306C9" w:rsidP="002306C9">
      <w:pPr>
        <w:pStyle w:val="ListParagraph"/>
        <w:numPr>
          <w:ilvl w:val="0"/>
          <w:numId w:val="20"/>
        </w:numPr>
        <w:rPr>
          <w:rFonts w:ascii="Calibri" w:hAnsi="Calibri"/>
          <w:sz w:val="18"/>
          <w:szCs w:val="18"/>
        </w:rPr>
      </w:pPr>
      <w:r>
        <w:rPr>
          <w:rFonts w:ascii="Calibri" w:hAnsi="Calibri"/>
          <w:sz w:val="18"/>
          <w:szCs w:val="18"/>
          <w:lang w:val="es"/>
        </w:rPr>
        <w:t xml:space="preserve">4 unidades recomendadas - Los cursos de Ciencias de la Computación (una o más unidades) que cumplen con las directrices de los Regentes del Estado para los requisitos curriculares de la escuela secundaria pueden satisfacer el requisito de graduación de aptitud informática en todo el sistema </w:t>
      </w:r>
      <w:proofErr w:type="spellStart"/>
      <w:proofErr w:type="gramStart"/>
      <w:r>
        <w:rPr>
          <w:rFonts w:ascii="Calibri" w:hAnsi="Calibri"/>
          <w:sz w:val="18"/>
          <w:szCs w:val="18"/>
          <w:lang w:val="es"/>
        </w:rPr>
        <w:t>post-secundario</w:t>
      </w:r>
      <w:proofErr w:type="spellEnd"/>
      <w:proofErr w:type="gramEnd"/>
      <w:r>
        <w:rPr>
          <w:rFonts w:ascii="Calibri" w:hAnsi="Calibri"/>
          <w:sz w:val="18"/>
          <w:szCs w:val="18"/>
          <w:lang w:val="es"/>
        </w:rPr>
        <w:t>.</w:t>
      </w:r>
    </w:p>
    <w:p w14:paraId="7FCE3C71" w14:textId="11BFF227" w:rsidR="00B441CE" w:rsidRPr="00D43B01" w:rsidRDefault="00B441CE" w:rsidP="002306C9">
      <w:pPr>
        <w:rPr>
          <w:szCs w:val="18"/>
        </w:rPr>
      </w:pPr>
    </w:p>
    <w:sectPr w:rsidR="00B441CE" w:rsidRPr="00D43B01" w:rsidSect="00B441C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4AFCB" w14:textId="77777777" w:rsidR="00231066" w:rsidRDefault="00231066" w:rsidP="000858BD">
      <w:r>
        <w:separator/>
      </w:r>
    </w:p>
  </w:endnote>
  <w:endnote w:type="continuationSeparator" w:id="0">
    <w:p w14:paraId="048A5FC1" w14:textId="77777777" w:rsidR="00231066" w:rsidRDefault="00231066"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HGPMinchoE">
    <w:charset w:val="80"/>
    <w:family w:val="roman"/>
    <w:pitch w:val="variable"/>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Sans">
    <w:altName w:val="Open Sans"/>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5B2A6C" w:rsidRDefault="005B2A6C"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0D91C4" w14:textId="0B39D81E" w:rsidR="005B2A6C" w:rsidRDefault="00502A31" w:rsidP="000858BD">
                          <w:pPr>
                            <w:tabs>
                              <w:tab w:val="right" w:pos="7740"/>
                            </w:tabs>
                            <w:jc w:val="right"/>
                            <w:rPr>
                              <w:b/>
                              <w:sz w:val="22"/>
                              <w:szCs w:val="22"/>
                            </w:rPr>
                          </w:pPr>
                          <w:r>
                            <w:rPr>
                              <w:b/>
                              <w:bCs/>
                              <w:sz w:val="22"/>
                              <w:szCs w:val="22"/>
                              <w:lang w:val="es"/>
                            </w:rPr>
                            <w:t>COLLEGE ADMISSIONS, PART 2</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fCV3g3gAAAAoBAAAPAAAAZHJzL2Rvd25yZXYueG1s&#10;TI/NTsMwEITvSLyDtUjcWruh9CeNUyEQ16IWqNSbG2+TiHgdxW4T3r7bExxnZzT7TbYeXCMu2IXa&#10;k4bJWIFAKrytqdTw9fk+WoAI0ZA1jSfU8IsB1vn9XWZS63va4mUXS8ElFFKjoYqxTaUMRYXOhLFv&#10;kdg7+c6ZyLIrpe1Mz+WukYlSM+lMTfyhMi2+Vlj87M5Ow/fmdNhP1Uf55p7b3g9KkltKrR8fhpcV&#10;iIhD/AvDDZ/RIWemoz+TDaJhPUt4S9QwSqZzEJyYL2+XI1uTJ5B5Jv9PyK8AAAD//wMAUEsBAi0A&#10;FAAGAAgAAAAhALaDOJL+AAAA4QEAABMAAAAAAAAAAAAAAAAAAAAAAFtDb250ZW50X1R5cGVzXS54&#10;bWxQSwECLQAUAAYACAAAACEAOP0h/9YAAACUAQAACwAAAAAAAAAAAAAAAAAvAQAAX3JlbHMvLnJl&#10;bHNQSwECLQAUAAYACAAAACEAN8cKKV8CAAA0BQAADgAAAAAAAAAAAAAAAAAuAgAAZHJzL2Uyb0Rv&#10;Yy54bWxQSwECLQAUAAYACAAAACEAXwld4N4AAAAKAQAADwAAAAAAAAAAAAAAAAC5BAAAZHJzL2Rv&#10;d25yZXYueG1sUEsFBgAAAAAEAAQA8wAAAMQFAAAAAA==&#10;" filled="f" stroked="f">
              <v:textbox>
                <w:txbxContent>
                  <w:p w14:paraId="5F0D91C4" w14:textId="0B39D81E" w:rsidR="005B2A6C" w:rsidRDefault="00502A31" w:rsidP="000858BD">
                    <w:pPr>
                      <w:tabs>
                        <w:tab w:val="right" w:pos="7740"/>
                      </w:tabs>
                      <w:jc w:val="right"/>
                      <w:rPr>
                        <w:b/>
                        <w:sz w:val="22"/>
                        <w:szCs w:val="22"/>
                      </w:rPr>
                    </w:pPr>
                    <w:r>
                      <w:rPr>
                        <w:b/>
                        <w:bCs/>
                        <w:sz w:val="22"/>
                        <w:szCs w:val="22"/>
                        <w:lang w:val="es"/>
                      </w:rPr>
                      <w:t>COLLEGE ADMISSIONS, PART 2</w:t>
                    </w:r>
                  </w:p>
                  <w:p w14:paraId="269DF973" w14:textId="77777777" w:rsidR="005B2A6C" w:rsidRDefault="005B2A6C"/>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EACEF" w14:textId="77777777" w:rsidR="00231066" w:rsidRDefault="00231066" w:rsidP="000858BD">
      <w:r>
        <w:separator/>
      </w:r>
    </w:p>
  </w:footnote>
  <w:footnote w:type="continuationSeparator" w:id="0">
    <w:p w14:paraId="7D432C0D" w14:textId="77777777" w:rsidR="00231066" w:rsidRDefault="00231066" w:rsidP="00085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4B4F"/>
    <w:multiLevelType w:val="hybridMultilevel"/>
    <w:tmpl w:val="8EDA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42E8A"/>
    <w:multiLevelType w:val="hybridMultilevel"/>
    <w:tmpl w:val="24DA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963EB"/>
    <w:multiLevelType w:val="hybridMultilevel"/>
    <w:tmpl w:val="E3FC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A5F9A"/>
    <w:multiLevelType w:val="multilevel"/>
    <w:tmpl w:val="AFF2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01BF4"/>
    <w:multiLevelType w:val="hybridMultilevel"/>
    <w:tmpl w:val="10107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519B7"/>
    <w:multiLevelType w:val="multilevel"/>
    <w:tmpl w:val="4BB4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84EF0"/>
    <w:multiLevelType w:val="multilevel"/>
    <w:tmpl w:val="05D0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E61F6"/>
    <w:multiLevelType w:val="multilevel"/>
    <w:tmpl w:val="B39A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41BA1"/>
    <w:multiLevelType w:val="hybridMultilevel"/>
    <w:tmpl w:val="5052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97C89"/>
    <w:multiLevelType w:val="hybridMultilevel"/>
    <w:tmpl w:val="37D6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7F0E54"/>
    <w:multiLevelType w:val="multilevel"/>
    <w:tmpl w:val="C612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B44190"/>
    <w:multiLevelType w:val="hybridMultilevel"/>
    <w:tmpl w:val="D8B4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6A35E9"/>
    <w:multiLevelType w:val="hybridMultilevel"/>
    <w:tmpl w:val="C4604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418C5"/>
    <w:multiLevelType w:val="hybridMultilevel"/>
    <w:tmpl w:val="CEEC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DA2E27"/>
    <w:multiLevelType w:val="multilevel"/>
    <w:tmpl w:val="9B02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F6229F"/>
    <w:multiLevelType w:val="hybridMultilevel"/>
    <w:tmpl w:val="AFC4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4423EF"/>
    <w:multiLevelType w:val="hybridMultilevel"/>
    <w:tmpl w:val="967C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797A75"/>
    <w:multiLevelType w:val="multilevel"/>
    <w:tmpl w:val="4D32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490DBE"/>
    <w:multiLevelType w:val="hybridMultilevel"/>
    <w:tmpl w:val="B76C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A6725"/>
    <w:multiLevelType w:val="hybridMultilevel"/>
    <w:tmpl w:val="61DE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4945124">
    <w:abstractNumId w:val="10"/>
  </w:num>
  <w:num w:numId="2" w16cid:durableId="1996565211">
    <w:abstractNumId w:val="8"/>
  </w:num>
  <w:num w:numId="3" w16cid:durableId="1906136802">
    <w:abstractNumId w:val="18"/>
  </w:num>
  <w:num w:numId="4" w16cid:durableId="1000616062">
    <w:abstractNumId w:val="9"/>
  </w:num>
  <w:num w:numId="5" w16cid:durableId="221142233">
    <w:abstractNumId w:val="13"/>
  </w:num>
  <w:num w:numId="6" w16cid:durableId="277030886">
    <w:abstractNumId w:val="16"/>
  </w:num>
  <w:num w:numId="7" w16cid:durableId="1169102203">
    <w:abstractNumId w:val="14"/>
  </w:num>
  <w:num w:numId="8" w16cid:durableId="227113287">
    <w:abstractNumId w:val="6"/>
  </w:num>
  <w:num w:numId="9" w16cid:durableId="381029234">
    <w:abstractNumId w:val="19"/>
  </w:num>
  <w:num w:numId="10" w16cid:durableId="1400202985">
    <w:abstractNumId w:val="17"/>
  </w:num>
  <w:num w:numId="11" w16cid:durableId="662701167">
    <w:abstractNumId w:val="11"/>
  </w:num>
  <w:num w:numId="12" w16cid:durableId="654995074">
    <w:abstractNumId w:val="1"/>
  </w:num>
  <w:num w:numId="13" w16cid:durableId="434984337">
    <w:abstractNumId w:val="4"/>
  </w:num>
  <w:num w:numId="14" w16cid:durableId="1334798184">
    <w:abstractNumId w:val="2"/>
  </w:num>
  <w:num w:numId="15" w16cid:durableId="1545219545">
    <w:abstractNumId w:val="7"/>
  </w:num>
  <w:num w:numId="16" w16cid:durableId="39549704">
    <w:abstractNumId w:val="3"/>
  </w:num>
  <w:num w:numId="17" w16cid:durableId="1052273150">
    <w:abstractNumId w:val="5"/>
  </w:num>
  <w:num w:numId="18" w16cid:durableId="225604450">
    <w:abstractNumId w:val="0"/>
  </w:num>
  <w:num w:numId="19" w16cid:durableId="1285505306">
    <w:abstractNumId w:val="12"/>
  </w:num>
  <w:num w:numId="20" w16cid:durableId="19307675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8BD"/>
    <w:rsid w:val="000858BD"/>
    <w:rsid w:val="0011581D"/>
    <w:rsid w:val="00187B4D"/>
    <w:rsid w:val="002306C9"/>
    <w:rsid w:val="00231066"/>
    <w:rsid w:val="002F5FCB"/>
    <w:rsid w:val="00502A31"/>
    <w:rsid w:val="005B2A6C"/>
    <w:rsid w:val="00895EAC"/>
    <w:rsid w:val="00A106A1"/>
    <w:rsid w:val="00A57937"/>
    <w:rsid w:val="00A841D3"/>
    <w:rsid w:val="00AB38AC"/>
    <w:rsid w:val="00AC2386"/>
    <w:rsid w:val="00B441CE"/>
    <w:rsid w:val="00C36ABB"/>
    <w:rsid w:val="00D43B01"/>
    <w:rsid w:val="00D77E23"/>
    <w:rsid w:val="00FA3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502A31"/>
    <w:pPr>
      <w:tabs>
        <w:tab w:val="center" w:pos="4680"/>
        <w:tab w:val="right" w:pos="9360"/>
      </w:tabs>
    </w:pPr>
  </w:style>
  <w:style w:type="character" w:customStyle="1" w:styleId="FooterChar">
    <w:name w:val="Footer Char"/>
    <w:basedOn w:val="DefaultParagraphFont"/>
    <w:link w:val="Footer"/>
    <w:uiPriority w:val="99"/>
    <w:rsid w:val="00502A31"/>
    <w:rPr>
      <w:rFonts w:ascii="Calibri" w:hAnsi="Calibri"/>
      <w:color w:val="2E2E2E" w:themeColor="text1"/>
      <w:sz w:val="18"/>
    </w:rPr>
  </w:style>
  <w:style w:type="paragraph" w:styleId="ListParagraph">
    <w:name w:val="List Paragraph"/>
    <w:basedOn w:val="Normal"/>
    <w:uiPriority w:val="34"/>
    <w:qFormat/>
    <w:rsid w:val="00502A31"/>
    <w:pPr>
      <w:spacing w:after="200" w:line="276" w:lineRule="auto"/>
      <w:ind w:left="720"/>
      <w:contextualSpacing/>
    </w:pPr>
    <w:rPr>
      <w:rFonts w:asciiTheme="minorHAnsi" w:eastAsiaTheme="minorHAnsi" w:hAnsiTheme="minorHAns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Admissions, Part 2</dc:title>
  <dc:subject/>
  <dc:creator>K20 Center</dc:creator>
  <cp:keywords/>
  <dc:description/>
  <cp:lastModifiedBy>Bigler, Elijah B.</cp:lastModifiedBy>
  <cp:revision>8</cp:revision>
  <cp:lastPrinted>2022-06-23T21:01:00Z</cp:lastPrinted>
  <dcterms:created xsi:type="dcterms:W3CDTF">2015-09-21T19:24:00Z</dcterms:created>
  <dcterms:modified xsi:type="dcterms:W3CDTF">2023-07-06T18:39:00Z</dcterms:modified>
</cp:coreProperties>
</file>