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88A3FB" w14:textId="23DBDC56" w:rsidR="00912DF5" w:rsidRDefault="00912DF5" w:rsidP="009D6E8D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912DF5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Comparative Leadership Analysis</w:t>
      </w:r>
      <w:r w:rsidR="00AB762D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:</w:t>
      </w:r>
      <w:r w:rsidRPr="00912DF5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 xml:space="preserve"> </w:t>
      </w:r>
      <w:r w:rsidR="0059668E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C-E-R+E-R</w:t>
      </w:r>
      <w:r w:rsidRPr="00912DF5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 xml:space="preserve"> Rubric</w:t>
      </w:r>
    </w:p>
    <w:tbl>
      <w:tblPr>
        <w:tblStyle w:val="TableGrid"/>
        <w:tblW w:w="174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3834"/>
        <w:gridCol w:w="4356"/>
        <w:gridCol w:w="4230"/>
        <w:gridCol w:w="3510"/>
      </w:tblGrid>
      <w:tr w:rsidR="00912DF5" w14:paraId="741FCBD4" w14:textId="272F3E87" w:rsidTr="00912DF5">
        <w:trPr>
          <w:cantSplit/>
          <w:tblHeader/>
        </w:trPr>
        <w:tc>
          <w:tcPr>
            <w:tcW w:w="1520" w:type="dxa"/>
            <w:shd w:val="clear" w:color="auto" w:fill="3E5C61" w:themeFill="accent2"/>
          </w:tcPr>
          <w:p w14:paraId="03FD98E9" w14:textId="322F9112" w:rsidR="00912DF5" w:rsidRPr="0053328A" w:rsidRDefault="00912DF5" w:rsidP="00673027">
            <w:pPr>
              <w:pStyle w:val="TableColumnHeaders"/>
            </w:pPr>
            <w:r>
              <w:t>Criteria</w:t>
            </w:r>
          </w:p>
        </w:tc>
        <w:tc>
          <w:tcPr>
            <w:tcW w:w="3834" w:type="dxa"/>
            <w:shd w:val="clear" w:color="auto" w:fill="3E5C61" w:themeFill="accent2"/>
          </w:tcPr>
          <w:p w14:paraId="32DFE6D5" w14:textId="12F49DC1" w:rsidR="00912DF5" w:rsidRPr="0053328A" w:rsidRDefault="00912DF5" w:rsidP="00673027">
            <w:pPr>
              <w:pStyle w:val="TableColumnHeaders"/>
            </w:pPr>
            <w:r>
              <w:t>Exemplary (9-8)</w:t>
            </w:r>
          </w:p>
        </w:tc>
        <w:tc>
          <w:tcPr>
            <w:tcW w:w="4356" w:type="dxa"/>
            <w:shd w:val="clear" w:color="auto" w:fill="3E5C61" w:themeFill="accent2"/>
          </w:tcPr>
          <w:p w14:paraId="52A73818" w14:textId="780527A1" w:rsidR="00912DF5" w:rsidRPr="0053328A" w:rsidRDefault="00912DF5" w:rsidP="00673027">
            <w:pPr>
              <w:pStyle w:val="TableColumnHeaders"/>
            </w:pPr>
            <w:r>
              <w:t>Proficient (7-6)</w:t>
            </w:r>
          </w:p>
        </w:tc>
        <w:tc>
          <w:tcPr>
            <w:tcW w:w="4230" w:type="dxa"/>
            <w:shd w:val="clear" w:color="auto" w:fill="3E5C61" w:themeFill="accent2"/>
          </w:tcPr>
          <w:p w14:paraId="39B7D5EA" w14:textId="243D6240" w:rsidR="00912DF5" w:rsidRPr="0053328A" w:rsidRDefault="00912DF5" w:rsidP="00673027">
            <w:pPr>
              <w:pStyle w:val="TableColumnHeaders"/>
            </w:pPr>
            <w:r>
              <w:t>Developing (5-4)</w:t>
            </w:r>
          </w:p>
        </w:tc>
        <w:tc>
          <w:tcPr>
            <w:tcW w:w="3510" w:type="dxa"/>
            <w:shd w:val="clear" w:color="auto" w:fill="3E5C61" w:themeFill="accent2"/>
          </w:tcPr>
          <w:p w14:paraId="5A7E7C76" w14:textId="10D460A1" w:rsidR="00912DF5" w:rsidRDefault="00912DF5" w:rsidP="00673027">
            <w:pPr>
              <w:pStyle w:val="TableColumnHeaders"/>
            </w:pPr>
            <w:r>
              <w:t>Emerging (3-1)</w:t>
            </w:r>
          </w:p>
        </w:tc>
      </w:tr>
      <w:tr w:rsidR="00912DF5" w14:paraId="191D049D" w14:textId="41799648" w:rsidTr="00912DF5">
        <w:tc>
          <w:tcPr>
            <w:tcW w:w="1520" w:type="dxa"/>
            <w:vAlign w:val="center"/>
          </w:tcPr>
          <w:p w14:paraId="02DB7F6D" w14:textId="33D956B7" w:rsidR="00912DF5" w:rsidRDefault="00912DF5" w:rsidP="00912DF5">
            <w:pPr>
              <w:pStyle w:val="RowHeader"/>
              <w:jc w:val="center"/>
            </w:pPr>
            <w:r w:rsidRPr="00912DF5">
              <w:t>Thesis/Claim</w:t>
            </w:r>
          </w:p>
        </w:tc>
        <w:tc>
          <w:tcPr>
            <w:tcW w:w="3834" w:type="dxa"/>
          </w:tcPr>
          <w:p w14:paraId="39B4325E" w14:textId="3C4211C9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Presents a clear, thoughtful, and insightful thesis that makes a compelling, original comparison between the leadership qualities of the chosen Shakespearean character and the historical figure.</w:t>
            </w:r>
          </w:p>
        </w:tc>
        <w:tc>
          <w:tcPr>
            <w:tcW w:w="4356" w:type="dxa"/>
          </w:tcPr>
          <w:p w14:paraId="50FD1BB6" w14:textId="67A674B9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Presents a clear thesis that makes a reasonable comparison between the leadership qualities of the chosen Shakespearean character and the historical figure.</w:t>
            </w:r>
          </w:p>
        </w:tc>
        <w:tc>
          <w:tcPr>
            <w:tcW w:w="4230" w:type="dxa"/>
          </w:tcPr>
          <w:p w14:paraId="0D670FD1" w14:textId="5F881137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Presents a thesis that attempts to make a comparison, but it may be simplistic, underdeveloped, or lack clarity.</w:t>
            </w:r>
          </w:p>
        </w:tc>
        <w:tc>
          <w:tcPr>
            <w:tcW w:w="3510" w:type="dxa"/>
          </w:tcPr>
          <w:p w14:paraId="708712B5" w14:textId="6B164D7A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 xml:space="preserve">Presents a vague or unclear </w:t>
            </w:r>
            <w:proofErr w:type="gramStart"/>
            <w:r w:rsidRPr="00912DF5">
              <w:rPr>
                <w:sz w:val="22"/>
              </w:rPr>
              <w:t>thesis, or</w:t>
            </w:r>
            <w:proofErr w:type="gramEnd"/>
            <w:r w:rsidRPr="00912DF5">
              <w:rPr>
                <w:sz w:val="22"/>
              </w:rPr>
              <w:t xml:space="preserve"> fails to make a meaningful comparison between the chosen figures.</w:t>
            </w:r>
          </w:p>
        </w:tc>
      </w:tr>
      <w:tr w:rsidR="00912DF5" w14:paraId="11CB196F" w14:textId="08E59FB2" w:rsidTr="00912DF5">
        <w:tc>
          <w:tcPr>
            <w:tcW w:w="1520" w:type="dxa"/>
            <w:vAlign w:val="center"/>
          </w:tcPr>
          <w:p w14:paraId="0946B94E" w14:textId="4DEE1652" w:rsidR="00912DF5" w:rsidRPr="006B4CC2" w:rsidRDefault="00912DF5" w:rsidP="00912DF5">
            <w:pPr>
              <w:pStyle w:val="RowHeader"/>
              <w:jc w:val="center"/>
              <w:rPr>
                <w:rFonts w:cstheme="minorHAnsi"/>
              </w:rPr>
            </w:pPr>
            <w:r w:rsidRPr="00912DF5">
              <w:t>Analysis of Leadership Qualities</w:t>
            </w:r>
          </w:p>
        </w:tc>
        <w:tc>
          <w:tcPr>
            <w:tcW w:w="3834" w:type="dxa"/>
          </w:tcPr>
          <w:p w14:paraId="793F96A3" w14:textId="167D800F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Provides an in-depth, nuanced analysis of leadership qualities (e.g. ambition, morality, decision-making) of both the Shakespearean character and the historical figure. Effectively identifies key similarities and differences.</w:t>
            </w:r>
          </w:p>
        </w:tc>
        <w:tc>
          <w:tcPr>
            <w:tcW w:w="4356" w:type="dxa"/>
          </w:tcPr>
          <w:p w14:paraId="1782D8FD" w14:textId="6C2DE706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Provides a solid analysis of the leadership qualities of both figures, identifying key similarities and differences.</w:t>
            </w:r>
          </w:p>
        </w:tc>
        <w:tc>
          <w:tcPr>
            <w:tcW w:w="4230" w:type="dxa"/>
          </w:tcPr>
          <w:p w14:paraId="515707C2" w14:textId="57198312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Provides a limited or uneven analysis of the leadership qualities, with some key similarities and differences missing or underdeveloped.</w:t>
            </w:r>
          </w:p>
        </w:tc>
        <w:tc>
          <w:tcPr>
            <w:tcW w:w="3510" w:type="dxa"/>
          </w:tcPr>
          <w:p w14:paraId="6C2C1F64" w14:textId="2602E083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Provides a superficial or inaccurate analysis of the leadership qualities, with few meaningful comparisons between the figures.</w:t>
            </w:r>
          </w:p>
        </w:tc>
      </w:tr>
      <w:tr w:rsidR="00912DF5" w14:paraId="68890772" w14:textId="73BD3437" w:rsidTr="00912DF5">
        <w:tc>
          <w:tcPr>
            <w:tcW w:w="1520" w:type="dxa"/>
            <w:vAlign w:val="center"/>
          </w:tcPr>
          <w:p w14:paraId="379B81A7" w14:textId="183243E3" w:rsidR="00912DF5" w:rsidRDefault="00912DF5" w:rsidP="00912DF5">
            <w:pPr>
              <w:pStyle w:val="RowHeader"/>
              <w:jc w:val="center"/>
            </w:pPr>
            <w:r w:rsidRPr="00912DF5">
              <w:t>Use of Evidence</w:t>
            </w:r>
          </w:p>
        </w:tc>
        <w:tc>
          <w:tcPr>
            <w:tcW w:w="3834" w:type="dxa"/>
          </w:tcPr>
          <w:p w14:paraId="63C9C4B3" w14:textId="126DB9CC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 xml:space="preserve">Seamlessly incorporates specific, relevant evidence from </w:t>
            </w:r>
            <w:r w:rsidRPr="00912DF5">
              <w:rPr>
                <w:i/>
                <w:iCs/>
                <w:sz w:val="22"/>
              </w:rPr>
              <w:t>Macbeth</w:t>
            </w:r>
            <w:r w:rsidRPr="00912DF5">
              <w:rPr>
                <w:sz w:val="22"/>
              </w:rPr>
              <w:t xml:space="preserve"> and from historical sources to support the analysis. Evidence is well-integrated and clearly connected to the claims.</w:t>
            </w:r>
          </w:p>
        </w:tc>
        <w:tc>
          <w:tcPr>
            <w:tcW w:w="4356" w:type="dxa"/>
          </w:tcPr>
          <w:p w14:paraId="4E8BE97C" w14:textId="7CCE072E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 xml:space="preserve">Includes relevant evidence from </w:t>
            </w:r>
            <w:r w:rsidRPr="00912DF5">
              <w:rPr>
                <w:i/>
                <w:iCs/>
                <w:sz w:val="22"/>
              </w:rPr>
              <w:t>Macbeth</w:t>
            </w:r>
            <w:r w:rsidRPr="00912DF5">
              <w:rPr>
                <w:sz w:val="22"/>
              </w:rPr>
              <w:t xml:space="preserve"> and historical sources to support the analysis, though the integration may be uneven at times.</w:t>
            </w:r>
          </w:p>
        </w:tc>
        <w:tc>
          <w:tcPr>
            <w:tcW w:w="4230" w:type="dxa"/>
          </w:tcPr>
          <w:p w14:paraId="0C4508C9" w14:textId="0BE95DFC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 xml:space="preserve">Includes some evidence from </w:t>
            </w:r>
            <w:r w:rsidRPr="00912DF5">
              <w:rPr>
                <w:i/>
                <w:iCs/>
                <w:sz w:val="22"/>
              </w:rPr>
              <w:t>Macbeth</w:t>
            </w:r>
            <w:r w:rsidRPr="00912DF5">
              <w:rPr>
                <w:sz w:val="22"/>
              </w:rPr>
              <w:t xml:space="preserve"> and/or historical sources, but the evidence may be limited, loosely connected, or underdeveloped.</w:t>
            </w:r>
          </w:p>
        </w:tc>
        <w:tc>
          <w:tcPr>
            <w:tcW w:w="3510" w:type="dxa"/>
          </w:tcPr>
          <w:p w14:paraId="3C89099B" w14:textId="79EDCE43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 xml:space="preserve">Lacks sufficient evidence from </w:t>
            </w:r>
            <w:r w:rsidRPr="00912DF5">
              <w:rPr>
                <w:i/>
                <w:iCs/>
                <w:sz w:val="22"/>
              </w:rPr>
              <w:t>Macbeth</w:t>
            </w:r>
            <w:r w:rsidRPr="00912DF5">
              <w:rPr>
                <w:sz w:val="22"/>
              </w:rPr>
              <w:t xml:space="preserve"> and/or historical sources, or the evidence provided is irrelevant or inappropriately used.</w:t>
            </w:r>
          </w:p>
        </w:tc>
      </w:tr>
      <w:tr w:rsidR="00912DF5" w14:paraId="24001A9A" w14:textId="77777777" w:rsidTr="00912DF5">
        <w:tc>
          <w:tcPr>
            <w:tcW w:w="1520" w:type="dxa"/>
            <w:vAlign w:val="center"/>
          </w:tcPr>
          <w:p w14:paraId="636C1D75" w14:textId="5BCE1D8F" w:rsidR="00912DF5" w:rsidRPr="00912DF5" w:rsidRDefault="00912DF5" w:rsidP="00912DF5">
            <w:pPr>
              <w:pStyle w:val="RowHeader"/>
              <w:jc w:val="center"/>
            </w:pPr>
            <w:r w:rsidRPr="00912DF5">
              <w:t>Organization and Coherence</w:t>
            </w:r>
          </w:p>
        </w:tc>
        <w:tc>
          <w:tcPr>
            <w:tcW w:w="3834" w:type="dxa"/>
          </w:tcPr>
          <w:p w14:paraId="45B2EC2B" w14:textId="61E6D45F" w:rsidR="00912DF5" w:rsidRPr="00912DF5" w:rsidRDefault="0059668E" w:rsidP="00912DF5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Response</w:t>
            </w:r>
            <w:r w:rsidR="00912DF5" w:rsidRPr="00912DF5">
              <w:rPr>
                <w:sz w:val="22"/>
              </w:rPr>
              <w:t xml:space="preserve"> is exceptionally well-organized, with a clear and logical flow. Transitions effectively connect ideas, and the structure enhances the overall comparison and analysis.</w:t>
            </w:r>
          </w:p>
        </w:tc>
        <w:tc>
          <w:tcPr>
            <w:tcW w:w="4356" w:type="dxa"/>
          </w:tcPr>
          <w:p w14:paraId="7C1AFF37" w14:textId="6DDEC166" w:rsidR="00912DF5" w:rsidRPr="00912DF5" w:rsidRDefault="0059668E" w:rsidP="00912DF5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Response</w:t>
            </w:r>
            <w:r w:rsidR="00912DF5" w:rsidRPr="00912DF5">
              <w:rPr>
                <w:sz w:val="22"/>
              </w:rPr>
              <w:t xml:space="preserve"> is generally well-organized, with a coherent structure that supports the comparison and analysis. Transitions are present but may be uneven at times</w:t>
            </w:r>
          </w:p>
        </w:tc>
        <w:tc>
          <w:tcPr>
            <w:tcW w:w="4230" w:type="dxa"/>
          </w:tcPr>
          <w:p w14:paraId="32BDD9C4" w14:textId="6B56714A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Organization is inconsistent or underdeveloped, with some gaps or abrupt shifts in the flow of ideas. Transitions are limited or ineffective</w:t>
            </w:r>
          </w:p>
        </w:tc>
        <w:tc>
          <w:tcPr>
            <w:tcW w:w="3510" w:type="dxa"/>
          </w:tcPr>
          <w:p w14:paraId="3858068D" w14:textId="317A0D51" w:rsidR="00912DF5" w:rsidRPr="00912DF5" w:rsidRDefault="00912DF5" w:rsidP="00912DF5">
            <w:pPr>
              <w:pStyle w:val="TableData"/>
              <w:rPr>
                <w:sz w:val="22"/>
              </w:rPr>
            </w:pPr>
            <w:r w:rsidRPr="00912DF5">
              <w:rPr>
                <w:sz w:val="22"/>
              </w:rPr>
              <w:t>Organization is unclear or illogical, making the comparison and analysis difficult to follow. Transitions are absent or inappropriate.</w:t>
            </w:r>
          </w:p>
        </w:tc>
      </w:tr>
      <w:tr w:rsidR="00912DF5" w14:paraId="2A0AF727" w14:textId="77777777" w:rsidTr="00912DF5">
        <w:tc>
          <w:tcPr>
            <w:tcW w:w="1520" w:type="dxa"/>
            <w:vAlign w:val="center"/>
          </w:tcPr>
          <w:p w14:paraId="1A1E6965" w14:textId="01B86119" w:rsidR="00912DF5" w:rsidRPr="00912DF5" w:rsidRDefault="00912DF5" w:rsidP="00912DF5">
            <w:pPr>
              <w:pStyle w:val="RowHeader"/>
              <w:jc w:val="center"/>
            </w:pPr>
            <w:r w:rsidRPr="00912DF5">
              <w:t>Grammar and Mechanics</w:t>
            </w:r>
          </w:p>
        </w:tc>
        <w:tc>
          <w:tcPr>
            <w:tcW w:w="3834" w:type="dxa"/>
          </w:tcPr>
          <w:p w14:paraId="1BBDFC72" w14:textId="16C98EB7" w:rsidR="00912DF5" w:rsidRPr="00912DF5" w:rsidRDefault="0059668E" w:rsidP="00912DF5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Response</w:t>
            </w:r>
            <w:r w:rsidR="00912DF5" w:rsidRPr="00912DF5">
              <w:rPr>
                <w:sz w:val="22"/>
              </w:rPr>
              <w:t xml:space="preserve"> demonstrates a strong command of standard written English, with few to no errors in grammar, spelling, punctuation, or word choice.</w:t>
            </w:r>
          </w:p>
        </w:tc>
        <w:tc>
          <w:tcPr>
            <w:tcW w:w="4356" w:type="dxa"/>
          </w:tcPr>
          <w:p w14:paraId="628A5018" w14:textId="12D11A08" w:rsidR="00912DF5" w:rsidRPr="00912DF5" w:rsidRDefault="0059668E" w:rsidP="00912DF5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Response</w:t>
            </w:r>
            <w:r w:rsidR="00912DF5" w:rsidRPr="00912DF5">
              <w:rPr>
                <w:sz w:val="22"/>
              </w:rPr>
              <w:t xml:space="preserve"> demonstrates a generally good command of standard written English, with minor errors that do not significantly impede meaning.</w:t>
            </w:r>
          </w:p>
        </w:tc>
        <w:tc>
          <w:tcPr>
            <w:tcW w:w="4230" w:type="dxa"/>
          </w:tcPr>
          <w:p w14:paraId="6F2F88C6" w14:textId="0B9D19EC" w:rsidR="00912DF5" w:rsidRPr="00912DF5" w:rsidRDefault="0059668E" w:rsidP="00912DF5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Response</w:t>
            </w:r>
            <w:r w:rsidR="00912DF5" w:rsidRPr="00912DF5">
              <w:rPr>
                <w:sz w:val="22"/>
              </w:rPr>
              <w:t xml:space="preserve"> contains several errors in grammar, spelling, punctuation, or word choice that begin to interfere with meaning.</w:t>
            </w:r>
          </w:p>
        </w:tc>
        <w:tc>
          <w:tcPr>
            <w:tcW w:w="3510" w:type="dxa"/>
          </w:tcPr>
          <w:p w14:paraId="0D9F0EE4" w14:textId="4731D187" w:rsidR="00912DF5" w:rsidRPr="00912DF5" w:rsidRDefault="00912DF5" w:rsidP="00912DF5">
            <w:pPr>
              <w:pStyle w:val="TableData"/>
              <w:rPr>
                <w:sz w:val="22"/>
              </w:rPr>
            </w:pPr>
            <w:r>
              <w:rPr>
                <w:sz w:val="22"/>
              </w:rPr>
              <w:t>C</w:t>
            </w:r>
            <w:r w:rsidRPr="00912DF5">
              <w:rPr>
                <w:sz w:val="22"/>
              </w:rPr>
              <w:t>ontains frequent and/or significant errors in grammar, spelling, punctuation, or word choice that seriously impede meaning.</w:t>
            </w:r>
          </w:p>
        </w:tc>
      </w:tr>
    </w:tbl>
    <w:p w14:paraId="1C4CF05E" w14:textId="5D00F573" w:rsidR="00912DF5" w:rsidRPr="00912DF5" w:rsidRDefault="00912DF5" w:rsidP="00912DF5">
      <w:pPr>
        <w:pStyle w:val="BodyText"/>
      </w:pPr>
    </w:p>
    <w:sectPr w:rsidR="00912DF5" w:rsidRPr="00912DF5" w:rsidSect="00912DF5">
      <w:headerReference w:type="even" r:id="rId11"/>
      <w:headerReference w:type="default" r:id="rId12"/>
      <w:footerReference w:type="default" r:id="rId13"/>
      <w:headerReference w:type="first" r:id="rId14"/>
      <w:pgSz w:w="20160" w:h="12240" w:orient="landscape"/>
      <w:pgMar w:top="1152" w:right="1152" w:bottom="1152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7E82" w14:textId="77777777" w:rsidR="001577FB" w:rsidRDefault="001577FB" w:rsidP="00293785">
      <w:pPr>
        <w:spacing w:after="0" w:line="240" w:lineRule="auto"/>
      </w:pPr>
      <w:r>
        <w:separator/>
      </w:r>
    </w:p>
  </w:endnote>
  <w:endnote w:type="continuationSeparator" w:id="0">
    <w:p w14:paraId="44BE563B" w14:textId="77777777" w:rsidR="001577FB" w:rsidRDefault="001577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E740" w14:textId="3E17C94F" w:rsidR="00293785" w:rsidRDefault="00912DF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657EF9" wp14:editId="1B8332BC">
              <wp:simplePos x="0" y="0"/>
              <wp:positionH relativeFrom="column">
                <wp:posOffset>6656560</wp:posOffset>
              </wp:positionH>
              <wp:positionV relativeFrom="paragraph">
                <wp:posOffset>-334047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C9493" w14:textId="5EE9B82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82A87DA488814E8E77006CED6FE81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12DF5">
                                <w:t>crown or curse: rubric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57E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4.15pt;margin-top:-26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" filled="f" stroked="f">
              <v:textbox>
                <w:txbxContent>
                  <w:p w14:paraId="605C9493" w14:textId="5EE9B82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82A87DA488814E8E77006CED6FE81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12DF5">
                          <w:t>crown or curse: rubric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90FD31F" wp14:editId="69B728D6">
          <wp:simplePos x="0" y="0"/>
          <wp:positionH relativeFrom="column">
            <wp:posOffset>6578475</wp:posOffset>
          </wp:positionH>
          <wp:positionV relativeFrom="paragraph">
            <wp:posOffset>-289108</wp:posOffset>
          </wp:positionV>
          <wp:extent cx="4572000" cy="316865"/>
          <wp:effectExtent l="0" t="0" r="0" b="0"/>
          <wp:wrapNone/>
          <wp:docPr id="1105412776" name="Picture 1105412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45B7" w14:textId="77777777" w:rsidR="001577FB" w:rsidRDefault="001577FB" w:rsidP="00293785">
      <w:pPr>
        <w:spacing w:after="0" w:line="240" w:lineRule="auto"/>
      </w:pPr>
      <w:r>
        <w:separator/>
      </w:r>
    </w:p>
  </w:footnote>
  <w:footnote w:type="continuationSeparator" w:id="0">
    <w:p w14:paraId="6181605C" w14:textId="77777777" w:rsidR="001577FB" w:rsidRDefault="001577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D66A" w14:textId="77777777" w:rsidR="00F44B22" w:rsidRDefault="00F44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0D26" w14:textId="77777777" w:rsidR="00F44B22" w:rsidRDefault="00F44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B517" w14:textId="77777777" w:rsidR="00F44B22" w:rsidRDefault="00F44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2249">
    <w:abstractNumId w:val="6"/>
  </w:num>
  <w:num w:numId="2" w16cid:durableId="607394620">
    <w:abstractNumId w:val="7"/>
  </w:num>
  <w:num w:numId="3" w16cid:durableId="682902694">
    <w:abstractNumId w:val="0"/>
  </w:num>
  <w:num w:numId="4" w16cid:durableId="674378712">
    <w:abstractNumId w:val="2"/>
  </w:num>
  <w:num w:numId="5" w16cid:durableId="1926918051">
    <w:abstractNumId w:val="3"/>
  </w:num>
  <w:num w:numId="6" w16cid:durableId="935476347">
    <w:abstractNumId w:val="5"/>
  </w:num>
  <w:num w:numId="7" w16cid:durableId="1002928806">
    <w:abstractNumId w:val="4"/>
  </w:num>
  <w:num w:numId="8" w16cid:durableId="807476942">
    <w:abstractNumId w:val="8"/>
  </w:num>
  <w:num w:numId="9" w16cid:durableId="1830557171">
    <w:abstractNumId w:val="9"/>
  </w:num>
  <w:num w:numId="10" w16cid:durableId="708529335">
    <w:abstractNumId w:val="10"/>
  </w:num>
  <w:num w:numId="11" w16cid:durableId="13604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F5"/>
    <w:rsid w:val="0004006F"/>
    <w:rsid w:val="0004194F"/>
    <w:rsid w:val="00053775"/>
    <w:rsid w:val="0005619A"/>
    <w:rsid w:val="0008589D"/>
    <w:rsid w:val="000E4C69"/>
    <w:rsid w:val="0011259B"/>
    <w:rsid w:val="00116FDD"/>
    <w:rsid w:val="00125621"/>
    <w:rsid w:val="001577FB"/>
    <w:rsid w:val="001A0126"/>
    <w:rsid w:val="001D0BBF"/>
    <w:rsid w:val="001E1F85"/>
    <w:rsid w:val="001F125D"/>
    <w:rsid w:val="002345CC"/>
    <w:rsid w:val="00286545"/>
    <w:rsid w:val="00293785"/>
    <w:rsid w:val="002C0879"/>
    <w:rsid w:val="002C37B4"/>
    <w:rsid w:val="0036040A"/>
    <w:rsid w:val="00397FA9"/>
    <w:rsid w:val="00446C13"/>
    <w:rsid w:val="004F7B6D"/>
    <w:rsid w:val="005078B4"/>
    <w:rsid w:val="0053328A"/>
    <w:rsid w:val="00540FC6"/>
    <w:rsid w:val="005511B6"/>
    <w:rsid w:val="00553C98"/>
    <w:rsid w:val="0059668E"/>
    <w:rsid w:val="005A7635"/>
    <w:rsid w:val="00645D7F"/>
    <w:rsid w:val="00656940"/>
    <w:rsid w:val="00665274"/>
    <w:rsid w:val="00666C03"/>
    <w:rsid w:val="00686DAB"/>
    <w:rsid w:val="00686F7B"/>
    <w:rsid w:val="006B4CC2"/>
    <w:rsid w:val="006E1542"/>
    <w:rsid w:val="006F752C"/>
    <w:rsid w:val="00721EA4"/>
    <w:rsid w:val="00797CB5"/>
    <w:rsid w:val="007B055F"/>
    <w:rsid w:val="007E6F1D"/>
    <w:rsid w:val="00877AC3"/>
    <w:rsid w:val="00880013"/>
    <w:rsid w:val="008920A4"/>
    <w:rsid w:val="008F5386"/>
    <w:rsid w:val="00912DF5"/>
    <w:rsid w:val="00913172"/>
    <w:rsid w:val="00981E19"/>
    <w:rsid w:val="009B52E4"/>
    <w:rsid w:val="009D6E8D"/>
    <w:rsid w:val="00A101E8"/>
    <w:rsid w:val="00AB762D"/>
    <w:rsid w:val="00AC349E"/>
    <w:rsid w:val="00B92DBF"/>
    <w:rsid w:val="00BD119F"/>
    <w:rsid w:val="00C63479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44B22"/>
    <w:rsid w:val="00F50748"/>
    <w:rsid w:val="00F72D02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B026"/>
  <w15:docId w15:val="{4B58ECA6-53C7-574F-B72A-59B2E8DD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oners.sharepoint.com/sites/K20Templates/Shared%20Documents/1&#8212;LEARN%20Templates/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2A87DA488814E8E77006CED6F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11C7-013D-654A-AC8E-89717EE65C13}"/>
      </w:docPartPr>
      <w:docPartBody>
        <w:p w:rsidR="00594ED1" w:rsidRDefault="00000000">
          <w:pPr>
            <w:pStyle w:val="4A82A87DA488814E8E77006CED6FE81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68"/>
    <w:rsid w:val="0004194F"/>
    <w:rsid w:val="00070E3A"/>
    <w:rsid w:val="00286545"/>
    <w:rsid w:val="004616AE"/>
    <w:rsid w:val="00594ED1"/>
    <w:rsid w:val="006D7668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82A87DA488814E8E77006CED6FE81E">
    <w:name w:val="4A82A87DA488814E8E77006CED6FE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Vertical%20LEARN%20Attachment%20with%20Instructions—Template.dotx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or curse: rubric</dc:title>
  <dc:creator>Michael Kraus</dc:creator>
  <cp:lastModifiedBy>McLeod Porter, Delma</cp:lastModifiedBy>
  <cp:revision>2</cp:revision>
  <cp:lastPrinted>2016-07-14T14:08:00Z</cp:lastPrinted>
  <dcterms:created xsi:type="dcterms:W3CDTF">2025-01-24T17:20:00Z</dcterms:created>
  <dcterms:modified xsi:type="dcterms:W3CDTF">2025-01-24T17:20:00Z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