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D389B" w14:textId="7AF1FD59" w:rsidR="00A841D3" w:rsidRPr="00262FD7" w:rsidRDefault="008B72B6" w:rsidP="00B11CF9">
      <w:pPr>
        <w:pStyle w:val="Heading1"/>
        <w:rPr>
          <w:rStyle w:val="body"/>
          <w:rFonts w:asciiTheme="majorHAnsi" w:hAnsiTheme="majorHAnsi" w:cstheme="majorBidi"/>
          <w:color w:val="2E2E2E" w:themeColor="text1"/>
          <w:sz w:val="28"/>
          <w:szCs w:val="32"/>
        </w:rPr>
        <w:bidi w:val="0"/>
      </w:pPr>
      <w:r>
        <w:rPr>
          <w:lang w:val="es"/>
          <w:b w:val="1"/>
          <w:bCs w:val="1"/>
          <w:i w:val="0"/>
          <w:iCs w:val="0"/>
          <w:u w:val="none"/>
          <w:vertAlign w:val="baseline"/>
          <w:rtl w:val="0"/>
        </w:rPr>
        <w:t xml:space="preserve">Hoja de apuntes 1: El viejo camino hacia la inmigración</w:t>
      </w:r>
    </w:p>
    <w:p w14:paraId="5E64F358" w14:textId="77777777" w:rsidR="00262FD7" w:rsidRPr="00262FD7" w:rsidRDefault="008B72B6" w:rsidP="00262FD7">
      <w:pPr>
        <w:pStyle w:val="Heading2"/>
        <w:spacing w:line="276" w:lineRule="auto"/>
        <w:rPr>
          <w:sz w:val="24"/>
          <w:szCs w:val="24"/>
        </w:rPr>
        <w:bidi w:val="0"/>
      </w:pPr>
      <w:r>
        <w:rPr>
          <w:sz w:val="24"/>
          <w:szCs w:val="24"/>
          <w:lang w:val="es"/>
          <w:b w:val="1"/>
          <w:bCs w:val="1"/>
          <w:i w:val="0"/>
          <w:iCs w:val="0"/>
          <w:u w:val="none"/>
          <w:vertAlign w:val="baseline"/>
          <w:rtl w:val="0"/>
        </w:rPr>
        <w:t xml:space="preserve">Pocas restricciones antes de 1882 </w:t>
      </w:r>
    </w:p>
    <w:p w14:paraId="3029B88D" w14:textId="61D85394" w:rsidR="008B72B6" w:rsidRPr="00262FD7" w:rsidRDefault="008B72B6" w:rsidP="00262FD7">
      <w:pPr>
        <w:spacing w:after="240" w:line="276" w:lineRule="auto"/>
        <w:rPr>
          <w:sz w:val="24"/>
        </w:rPr>
        <w:bidi w:val="0"/>
      </w:pPr>
      <w:r>
        <w:rPr>
          <w:sz w:val="24"/>
          <w:lang w:val="es"/>
          <w:b w:val="0"/>
          <w:bCs w:val="0"/>
          <w:i w:val="0"/>
          <w:iCs w:val="0"/>
          <w:u w:val="none"/>
          <w:vertAlign w:val="baseline"/>
          <w:rtl w:val="0"/>
        </w:rPr>
        <w:t xml:space="preserve">La inmigración a los Estados Unidos no estaba sujeta a prácticamente ninguna restricción legal antes de 1882. Básicamente, cualquiera que quisiera ingresar en los Estados Unidos podía hacerlo. Hasta 1855 no existían zonas de llegada especificadas. Los individuos simplemente se bajaban del barco y se dedicaban a sus asuntos. En 1819, los capitanes de los barcos debían conservar y presentar los manifiestos de los inmigrantes que entraban en el país, pero no se aplicaba. La oposición de los ciudadanos estadounidenses a la inmigración es escasa hasta aproximadamente la década de 1830, con la llegada de muchos católicos y trabajadores no cualificados. Surge el nativismo, que es una política que favorece los intereses de los habitantes locales frente a los de los inmigrantes. En 1892 se abrió la isla de Ellis, que se convirtió en el centro de tramitaciones para más de 12 millones de inmigrantes. </w:t>
      </w:r>
    </w:p>
    <w:p w14:paraId="430B4216" w14:textId="77777777" w:rsidR="00262FD7" w:rsidRPr="00262FD7" w:rsidRDefault="008B72B6" w:rsidP="00262FD7">
      <w:pPr>
        <w:pStyle w:val="Heading2"/>
        <w:spacing w:line="276" w:lineRule="auto"/>
        <w:rPr>
          <w:sz w:val="24"/>
          <w:szCs w:val="24"/>
        </w:rPr>
        <w:bidi w:val="0"/>
      </w:pPr>
      <w:r>
        <w:rPr>
          <w:sz w:val="24"/>
          <w:szCs w:val="24"/>
          <w:lang w:val="es"/>
          <w:b w:val="1"/>
          <w:bCs w:val="1"/>
          <w:i w:val="0"/>
          <w:iCs w:val="0"/>
          <w:u w:val="none"/>
          <w:vertAlign w:val="baseline"/>
          <w:rtl w:val="0"/>
        </w:rPr>
        <w:t xml:space="preserve">Ley de Exclusión China </w:t>
      </w:r>
    </w:p>
    <w:p w14:paraId="4B99C2F4" w14:textId="21F3205C" w:rsidR="008B72B6" w:rsidRPr="00262FD7" w:rsidRDefault="008B72B6" w:rsidP="00262FD7">
      <w:pPr>
        <w:spacing w:after="240" w:line="276" w:lineRule="auto"/>
        <w:rPr>
          <w:sz w:val="24"/>
        </w:rPr>
        <w:bidi w:val="0"/>
      </w:pPr>
      <w:r>
        <w:rPr>
          <w:sz w:val="24"/>
          <w:lang w:val="es"/>
          <w:b w:val="0"/>
          <w:bCs w:val="0"/>
          <w:i w:val="0"/>
          <w:iCs w:val="0"/>
          <w:u w:val="none"/>
          <w:vertAlign w:val="baseline"/>
          <w:rtl w:val="0"/>
        </w:rPr>
        <w:t xml:space="preserve">Las primeras leyes de inmigración restrictivas se dirigieron contra los países asiáticos. La primera ley fue la Ley de Exclusión China de 1882. Esta ley esencialmente prohibía la inmigración de ciudadanos chinos y se mantuvo en vigor hasta que fue derogada durante la Segunda Guerra Mundial. En 1907, la inmigración japonesa se redujo sustancialmente mediante un Acuerdo de Caballeros entre Japón y los Estados Unidos. En 1910, Angel Island, en la bahía de San Francisco, se convirtió en el centro de detención de los asiáticos. </w:t>
      </w:r>
    </w:p>
    <w:p w14:paraId="072D1F26" w14:textId="77777777" w:rsidR="00262FD7" w:rsidRPr="00262FD7" w:rsidRDefault="008B72B6" w:rsidP="00262FD7">
      <w:pPr>
        <w:pStyle w:val="Heading2"/>
        <w:spacing w:line="276" w:lineRule="auto"/>
        <w:rPr>
          <w:sz w:val="24"/>
          <w:szCs w:val="24"/>
        </w:rPr>
        <w:bidi w:val="0"/>
      </w:pPr>
      <w:r>
        <w:rPr>
          <w:sz w:val="24"/>
          <w:szCs w:val="24"/>
          <w:lang w:val="es"/>
          <w:b w:val="1"/>
          <w:bCs w:val="1"/>
          <w:i w:val="0"/>
          <w:iCs w:val="0"/>
          <w:u w:val="none"/>
          <w:vertAlign w:val="baseline"/>
          <w:rtl w:val="0"/>
        </w:rPr>
        <w:t xml:space="preserve">Prueba de alfabetización adoptada en 1917 </w:t>
      </w:r>
    </w:p>
    <w:p w14:paraId="64D8DA4A" w14:textId="6910B158" w:rsidR="008B72B6" w:rsidRPr="00262FD7" w:rsidRDefault="008B72B6" w:rsidP="00262FD7">
      <w:pPr>
        <w:spacing w:after="240" w:line="276" w:lineRule="auto"/>
        <w:rPr>
          <w:sz w:val="24"/>
        </w:rPr>
        <w:bidi w:val="0"/>
      </w:pPr>
      <w:r>
        <w:rPr>
          <w:sz w:val="24"/>
          <w:lang w:val="es"/>
          <w:b w:val="0"/>
          <w:bCs w:val="0"/>
          <w:i w:val="0"/>
          <w:iCs w:val="0"/>
          <w:u w:val="none"/>
          <w:vertAlign w:val="baseline"/>
          <w:rtl w:val="0"/>
        </w:rPr>
        <w:t xml:space="preserve">El deseo de restringir la inmigración a los Estados Unidos creció durante la última parte del siglo XIX. Este crecimiento se debió, en parte, al elevado volumen y ritmo de la inmigración y, en parte, al cambio de origen nacional de los inmigrantes; empezaron a llegar más del sur, centro y este de Europa. En 1907, el Congreso creó la Comisión de Inmigración, para investigar la inmigración. Este organismo emitió un famoso informe, que ahora se considera erróneo, en el que se concluía que los inmigrantes de las zonas más nuevas de Europa no se asimilaban fácilmente y, en general, se les culpaba de diversos males económicos. Al principio se intentó restringir la inmigración proponiendo una ley que exigiera un examen de alfabetización para ser admitido en los Estados Unidos, y dicha ley se aprobó finalmente en 1917. Esta misma ley también prohibía prácticamente la inmigración de cualquier país de Asia. </w:t>
      </w:r>
    </w:p>
    <w:p w14:paraId="4070742E" w14:textId="77777777" w:rsidR="00262FD7" w:rsidRPr="00262FD7" w:rsidRDefault="008B72B6" w:rsidP="00262FD7">
      <w:pPr>
        <w:pStyle w:val="Heading2"/>
        <w:spacing w:line="276" w:lineRule="auto"/>
        <w:rPr>
          <w:sz w:val="24"/>
          <w:szCs w:val="24"/>
        </w:rPr>
        <w:bidi w:val="0"/>
      </w:pPr>
      <w:r>
        <w:rPr>
          <w:sz w:val="24"/>
          <w:szCs w:val="24"/>
          <w:lang w:val="es"/>
          <w:b w:val="1"/>
          <w:bCs w:val="1"/>
          <w:i w:val="0"/>
          <w:iCs w:val="0"/>
          <w:u w:val="none"/>
          <w:vertAlign w:val="baseline"/>
          <w:rtl w:val="0"/>
        </w:rPr>
        <w:t xml:space="preserve">Década de 1920: Ley de Cuotas y Ley de Orígenes Nacionales </w:t>
      </w:r>
    </w:p>
    <w:p w14:paraId="6E2B7F51" w14:textId="3525E22D" w:rsidR="008B72B6" w:rsidRPr="00262FD7" w:rsidRDefault="008B72B6" w:rsidP="00262FD7">
      <w:pPr>
        <w:spacing w:after="240" w:line="276" w:lineRule="auto"/>
        <w:rPr>
          <w:i/>
          <w:iCs/>
          <w:sz w:val="24"/>
        </w:rPr>
        <w:bidi w:val="0"/>
      </w:pPr>
      <w:r>
        <w:rPr>
          <w:sz w:val="24"/>
          <w:lang w:val="es"/>
          <w:b w:val="0"/>
          <w:bCs w:val="0"/>
          <w:i w:val="0"/>
          <w:iCs w:val="0"/>
          <w:u w:val="none"/>
          <w:vertAlign w:val="baseline"/>
          <w:rtl w:val="0"/>
        </w:rPr>
        <w:t xml:space="preserve">La Ley de Cuotas de 1921 estableció el marco para un cambio fundamental en la política de inmigración de los Estados Unidos. Limitó el número de inmigrantes procedentes de Europa a un total de unos 350.000 al año. Las cuotas nacionales se establecieron en proporción directa a la presencia de cada país en la población estadounidense en 1910. Además, la ley asignaba a los países asiáticos cuotas cercanas a cero. En 1924, la </w:t>
      </w:r>
      <w:r>
        <w:rPr>
          <w:sz w:val="24"/>
          <w:lang w:val="es"/>
          <w:b w:val="1"/>
          <w:bCs w:val="1"/>
          <w:i w:val="0"/>
          <w:iCs w:val="0"/>
          <w:u w:val="none"/>
          <w:vertAlign w:val="baseline"/>
          <w:rtl w:val="0"/>
        </w:rPr>
        <w:t xml:space="preserve">Ley de Orígenes Nacionales</w:t>
      </w:r>
      <w:r>
        <w:rPr>
          <w:sz w:val="24"/>
          <w:lang w:val="es"/>
          <w:b w:val="0"/>
          <w:bCs w:val="0"/>
          <w:i w:val="0"/>
          <w:iCs w:val="0"/>
          <w:u w:val="none"/>
          <w:vertAlign w:val="baseline"/>
          <w:rtl w:val="0"/>
        </w:rPr>
        <w:t xml:space="preserve"> instituyó el requisito de obtener visados en un consulado estadounidense en el extranjero antes de inmigrar, redujo la cuota total de europeos a unos 165.000 y cambió la forma de determinar las cuotas. Ahora las cuotas se establecían en proporción directa a la presencia de cada país en la población estadounidense en 1890, aunque este aspecto de la ley no se aplicó plenamente hasta 1929. Se mantuvo sin cambios hasta que se aprobó la </w:t>
      </w:r>
      <w:r>
        <w:rPr>
          <w:sz w:val="24"/>
          <w:lang w:val="es"/>
          <w:b w:val="1"/>
          <w:bCs w:val="1"/>
          <w:i w:val="0"/>
          <w:iCs w:val="0"/>
          <w:u w:val="none"/>
          <w:vertAlign w:val="baseline"/>
          <w:rtl w:val="0"/>
        </w:rPr>
        <w:t xml:space="preserve">Ley de Inmigración y Nacionalidad de 1965</w:t>
      </w:r>
      <w:r>
        <w:rPr>
          <w:sz w:val="24"/>
          <w:lang w:val="es"/>
          <w:b w:val="0"/>
          <w:bCs w:val="0"/>
          <w:i w:val="1"/>
          <w:iCs w:val="1"/>
          <w:u w:val="none"/>
          <w:vertAlign w:val="baseline"/>
          <w:rtl w:val="0"/>
        </w:rPr>
        <w:t xml:space="preserve">. </w:t>
      </w:r>
      <w:r>
        <w:rPr>
          <w:sz w:val="24"/>
          <w:lang w:val="es"/>
          <w:b w:val="0"/>
          <w:bCs w:val="0"/>
          <w:i w:val="1"/>
          <w:iCs w:val="1"/>
          <w:u w:val="none"/>
          <w:vertAlign w:val="baseline"/>
          <w:rtl w:val="0"/>
        </w:rPr>
        <w:t xml:space="preserve">No hubo problemas reales con la inmigración ilegal hasta después de 1965. </w:t>
      </w:r>
    </w:p>
    <w:p w14:paraId="67A3B00F" w14:textId="77777777" w:rsidR="005F4251" w:rsidRPr="008B72B6" w:rsidRDefault="005F4251" w:rsidP="008B72B6">
      <w:pPr>
        <w:widowControl w:val="0"/>
        <w:autoSpaceDE w:val="0"/>
        <w:autoSpaceDN w:val="0"/>
        <w:adjustRightInd w:val="0"/>
        <w:spacing w:after="240"/>
        <w:rPr>
          <w:rFonts w:ascii="Times" w:hAnsi="Times" w:cs="Times"/>
          <w:color w:val="auto"/>
          <w:sz w:val="22"/>
          <w:szCs w:val="22"/>
        </w:rPr>
      </w:pPr>
    </w:p>
    <w:p w14:paraId="45BD28F8" w14:textId="6368F0B4" w:rsidR="00262FD7" w:rsidRDefault="00262FD7" w:rsidP="00262FD7">
      <w:pPr>
        <w:pStyle w:val="Subtitle"/>
        <w:rPr>
          <w:rStyle w:val="SubtleEmphasis"/>
          <w:i/>
          <w:iCs/>
          <w:color w:val="3E5C61" w:themeColor="accent2"/>
        </w:rPr>
        <w:bidi w:val="0"/>
      </w:pPr>
      <w:r>
        <w:rPr>
          <w:rStyle w:val="SubtleEmphasis"/>
          <w:color w:val="3E5C61" w:themeColor="accent2"/>
          <w:lang w:val="es"/>
          <w:b w:val="0"/>
          <w:bCs w:val="0"/>
          <w:i w:val="1"/>
          <w:iCs w:val="1"/>
          <w:u w:val="none"/>
          <w:vertAlign w:val="baseline"/>
          <w:rtl w:val="0"/>
        </w:rPr>
        <w:t xml:space="preserve">Cita: Cohn, R.L. (sin fecha). </w:t>
      </w:r>
      <w:r>
        <w:rPr>
          <w:rStyle w:val="SubtleEmphasis"/>
          <w:color w:val="3E5C61" w:themeColor="accent2"/>
          <w:lang w:val="es"/>
          <w:b w:val="0"/>
          <w:bCs w:val="0"/>
          <w:i w:val="1"/>
          <w:iCs w:val="1"/>
          <w:u w:val="none"/>
          <w:vertAlign w:val="baseline"/>
          <w:rtl w:val="0"/>
        </w:rPr>
        <w:t xml:space="preserve">Immigration policy and nativism. </w:t>
      </w:r>
      <w:r>
        <w:rPr>
          <w:rStyle w:val="SubtleEmphasis"/>
          <w:color w:val="3E5C61" w:themeColor="accent2"/>
          <w:lang w:val="es"/>
          <w:b w:val="0"/>
          <w:bCs w:val="0"/>
          <w:i w:val="1"/>
          <w:iCs w:val="1"/>
          <w:u w:val="none"/>
          <w:vertAlign w:val="baseline"/>
          <w:rtl w:val="0"/>
        </w:rPr>
        <w:t xml:space="preserve">Immigration to the United States. </w:t>
      </w:r>
      <w:r>
        <w:rPr>
          <w:rStyle w:val="SubtleEmphasis"/>
          <w:color w:val="3E5C61" w:themeColor="accent2"/>
          <w:lang w:val="es"/>
          <w:b w:val="0"/>
          <w:bCs w:val="0"/>
          <w:i w:val="1"/>
          <w:iCs w:val="1"/>
          <w:u w:val="none"/>
          <w:vertAlign w:val="baseline"/>
          <w:rtl w:val="0"/>
        </w:rPr>
        <w:t xml:space="preserve">Extraído de https://eh.net/encyclopedia/immigration-to-the-united-states/</w:t>
      </w:r>
    </w:p>
    <w:p w14:paraId="73AF0811" w14:textId="77777777" w:rsidR="00262FD7" w:rsidRDefault="00262FD7" w:rsidP="00262FD7">
      <w:pPr>
        <w:pStyle w:val="Subtitle"/>
      </w:pPr>
    </w:p>
    <w:p w14:paraId="7FCE3C71" w14:textId="4BE7112A" w:rsidR="00B441CE" w:rsidRPr="00262FD7" w:rsidRDefault="00262FD7" w:rsidP="00262FD7">
      <w:pPr>
        <w:pStyle w:val="Subtitle"/>
        <w:rPr>
          <w:rFonts w:cstheme="minorBidi"/>
          <w:color w:val="2E2E2E" w:themeColor="text1"/>
        </w:rPr>
        <w:bidi w:val="0"/>
      </w:pPr>
      <w:r>
        <w:rPr>
          <w:lang w:val="es"/>
          <w:b w:val="0"/>
          <w:bCs w:val="0"/>
          <w:i w:val="1"/>
          <w:iCs w:val="1"/>
          <w:u w:val="none"/>
          <w:vertAlign w:val="baseline"/>
          <w:rtl w:val="0"/>
        </w:rPr>
        <w:t xml:space="preserve">Reimpreso sólo con fines educativos.</w:t>
      </w:r>
    </w:p>
    <w:sectPr w:rsidR="00B441CE" w:rsidRPr="00262FD7" w:rsidSect="00B441CE">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052D8" w14:textId="77777777" w:rsidR="001B391A" w:rsidRDefault="001B391A" w:rsidP="000858BD">
      <w:pPr>
        <w:bidi w:val="0"/>
      </w:pPr>
      <w:r>
        <w:separator/>
      </w:r>
    </w:p>
  </w:endnote>
  <w:endnote w:type="continuationSeparator" w:id="0">
    <w:p w14:paraId="7D619730" w14:textId="77777777" w:rsidR="001B391A" w:rsidRDefault="001B391A" w:rsidP="000858BD">
      <w:pPr>
        <w:bidi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auto"/>
    <w:pitch w:val="variable"/>
    <w:sig w:usb0="A00002EF" w:usb1="4000204B" w:usb2="00000000" w:usb3="00000000" w:csb0="0000019F" w:csb1="00000000"/>
  </w:font>
  <w:font w:name="HGP明朝E">
    <w:charset w:val="80"/>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Ｐ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OpenSans">
    <w:altName w:val="Times New Roman"/>
    <w:charset w:val="00"/>
    <w:family w:val="auto"/>
    <w:pitch w:val="variable"/>
    <w:sig w:usb0="E00002EF" w:usb1="4000205B" w:usb2="00000028"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77777777" w:rsidR="005B2A6C" w:rsidRDefault="005B2A6C" w:rsidP="000858BD">
    <w:pPr>
      <w:tabs>
        <w:tab w:val="right" w:pos="7740"/>
      </w:tabs>
      <w:jc w:val="right"/>
      <w:bidi w:val="0"/>
    </w:pPr>
    <w:r>
      <w:rPr>
        <w:noProof/>
        <w:lang w:val="es"/>
        <w:b w:val="0"/>
        <w:bCs w:val="0"/>
        <w:i w:val="0"/>
        <w:iCs w:val="0"/>
        <w:u w:val="none"/>
        <w:vertAlign w:val="baseline"/>
        <w:rtl w:val="0"/>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0D91C4" w14:textId="04704DE5" w:rsidR="005B2A6C" w:rsidRDefault="00262FD7" w:rsidP="000858BD">
                          <w:pPr>
                            <w:tabs>
                              <w:tab w:val="right" w:pos="7740"/>
                            </w:tabs>
                            <w:jc w:val="right"/>
                            <w:rPr>
                              <w:b/>
                              <w:sz w:val="22"/>
                              <w:szCs w:val="22"/>
                            </w:rPr>
                            <w:bidi w:val="0"/>
                          </w:pPr>
                          <w:r>
                            <w:rPr>
                              <w:sz w:val="22"/>
                              <w:szCs w:val="22"/>
                              <w:lang w:val="es"/>
                              <w:b w:val="1"/>
                              <w:bCs w:val="1"/>
                              <w:i w:val="0"/>
                              <w:iCs w:val="0"/>
                              <w:u w:val="none"/>
                              <w:vertAlign w:val="baseline"/>
                              <w:rtl w:val="0"/>
                            </w:rPr>
                            <w:t xml:space="preserve">TO DREAM OR NOT: IMMIGRATION AND REFORM</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5F0D91C4" w14:textId="04704DE5" w:rsidR="005B2A6C" w:rsidRDefault="00262FD7" w:rsidP="000858BD">
                    <w:pPr>
                      <w:tabs>
                        <w:tab w:val="right" w:pos="7740"/>
                      </w:tabs>
                      <w:jc w:val="right"/>
                      <w:rPr>
                        <w:b/>
                        <w:sz w:val="22"/>
                        <w:szCs w:val="22"/>
                      </w:rPr>
                      <w:bidi w:val="0"/>
                    </w:pPr>
                    <w:r>
                      <w:rPr>
                        <w:sz w:val="22"/>
                        <w:szCs w:val="22"/>
                        <w:lang w:val="es"/>
                        <w:b w:val="1"/>
                        <w:bCs w:val="1"/>
                        <w:i w:val="0"/>
                        <w:iCs w:val="0"/>
                        <w:u w:val="none"/>
                        <w:vertAlign w:val="baseline"/>
                        <w:rtl w:val="0"/>
                      </w:rPr>
                      <w:t xml:space="preserve">TO DREAM OR NOT: IMMIGRATION AND REFORM</w:t>
                    </w:r>
                  </w:p>
                  <w:p w14:paraId="269DF973" w14:textId="77777777" w:rsidR="005B2A6C" w:rsidRDefault="005B2A6C"/>
                </w:txbxContent>
              </v:textbox>
            </v:shape>
          </w:pict>
        </mc:Fallback>
      </mc:AlternateContent>
    </w:r>
    <w:r>
      <w:rPr>
        <w:lang w:val="es"/>
        <w:b w:val="0"/>
        <w:bCs w:val="0"/>
        <w:i w:val="0"/>
        <w:iCs w:val="0"/>
        <w:u w:val="none"/>
        <w:vertAlign w:val="baseline"/>
        <w:rtl w:val="0"/>
      </w:rPr>
      <w:t xml:space="preserve"> </w:t>
    </w:r>
    <w:r>
      <w:rPr>
        <w:lang w:val="es"/>
        <w:b w:val="0"/>
        <w:bCs w:val="0"/>
        <w:i w:val="0"/>
        <w:iCs w:val="0"/>
        <w:u w:val="none"/>
        <w:vertAlign w:val="baseline"/>
        <w:rtl w:val="0"/>
      </w:rPr>
      <w:tab/>
    </w:r>
    <w:r>
      <w:rPr>
        <w:noProof/>
        <w:lang w:val="es"/>
        <w:b w:val="0"/>
        <w:bCs w:val="0"/>
        <w:i w:val="0"/>
        <w:iCs w:val="0"/>
        <w:u w:val="none"/>
        <w:vertAlign w:val="baseline"/>
        <w:rtl w:val="0"/>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7A7E3" w14:textId="77777777" w:rsidR="001B391A" w:rsidRDefault="001B391A" w:rsidP="000858BD">
      <w:pPr>
        <w:bidi w:val="0"/>
      </w:pPr>
      <w:r>
        <w:separator/>
      </w:r>
    </w:p>
  </w:footnote>
  <w:footnote w:type="continuationSeparator" w:id="0">
    <w:p w14:paraId="389BE173" w14:textId="77777777" w:rsidR="001B391A" w:rsidRDefault="001B391A" w:rsidP="000858BD">
      <w:pPr>
        <w:bidi w:val="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01CC1"/>
    <w:rsid w:val="000858BD"/>
    <w:rsid w:val="0011581D"/>
    <w:rsid w:val="001B391A"/>
    <w:rsid w:val="00262FD7"/>
    <w:rsid w:val="00414FCD"/>
    <w:rsid w:val="0055230C"/>
    <w:rsid w:val="005B2A6C"/>
    <w:rsid w:val="005F4251"/>
    <w:rsid w:val="00604506"/>
    <w:rsid w:val="00675F9D"/>
    <w:rsid w:val="008B0D5E"/>
    <w:rsid w:val="008B72B6"/>
    <w:rsid w:val="009809C2"/>
    <w:rsid w:val="00A57937"/>
    <w:rsid w:val="00A841D3"/>
    <w:rsid w:val="00AB38AC"/>
    <w:rsid w:val="00AC2386"/>
    <w:rsid w:val="00AF61B5"/>
    <w:rsid w:val="00B11CF9"/>
    <w:rsid w:val="00B441CE"/>
    <w:rsid w:val="00CE6236"/>
    <w:rsid w:val="00D77E23"/>
    <w:rsid w:val="00ED0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Ind w:w="0" w:type="dxa"/>
      <w:tblBorders>
        <w:top w:val="single" w:sz="8" w:space="0" w:color="3E5C61" w:themeColor="accent2"/>
        <w:bottom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Ind w:w="0" w:type="dxa"/>
      <w:tblBorders>
        <w:top w:val="single" w:sz="8" w:space="0" w:color="5E050D" w:themeColor="accent6"/>
        <w:bottom w:val="single" w:sz="8" w:space="0" w:color="5E050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Ind w:w="0" w:type="dxa"/>
      <w:tblBorders>
        <w:top w:val="single" w:sz="8" w:space="0" w:color="BED7D3" w:themeColor="accent3"/>
        <w:bottom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Ind w:w="0" w:type="dxa"/>
      <w:tblBorders>
        <w:top w:val="single" w:sz="8" w:space="0" w:color="910D28" w:themeColor="accent1"/>
        <w:bottom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Ind w:w="0" w:type="dxa"/>
      <w:tblBorders>
        <w:top w:val="single" w:sz="8" w:space="0" w:color="2E2E2E" w:themeColor="text1"/>
        <w:bottom w:val="single" w:sz="8" w:space="0" w:color="2E2E2E"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Ind w:w="0" w:type="dxa"/>
      <w:tblBorders>
        <w:top w:val="single" w:sz="8" w:space="0" w:color="85592C" w:themeColor="accent4"/>
        <w:bottom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Ind w:w="0" w:type="dxa"/>
      <w:tblBorders>
        <w:top w:val="single" w:sz="8" w:space="0" w:color="85592C" w:themeColor="accent4"/>
        <w:left w:val="single" w:sz="8" w:space="0" w:color="85592C" w:themeColor="accent4"/>
        <w:bottom w:val="single" w:sz="8" w:space="0" w:color="85592C" w:themeColor="accent4"/>
        <w:right w:val="single" w:sz="8" w:space="0" w:color="85592C"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Ind w:w="0" w:type="dxa"/>
      <w:tblBorders>
        <w:top w:val="single" w:sz="8" w:space="0" w:color="BED7D3" w:themeColor="accent3"/>
        <w:left w:val="single" w:sz="8" w:space="0" w:color="BED7D3" w:themeColor="accent3"/>
        <w:bottom w:val="single" w:sz="8" w:space="0" w:color="BED7D3" w:themeColor="accent3"/>
        <w:right w:val="single" w:sz="8" w:space="0" w:color="BED7D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Ind w:w="0" w:type="dxa"/>
      <w:tblBorders>
        <w:top w:val="single" w:sz="8" w:space="0" w:color="3E5C61" w:themeColor="accent2"/>
        <w:left w:val="single" w:sz="8" w:space="0" w:color="3E5C61" w:themeColor="accent2"/>
        <w:bottom w:val="single" w:sz="8" w:space="0" w:color="3E5C61" w:themeColor="accent2"/>
        <w:right w:val="single" w:sz="8" w:space="0" w:color="3E5C6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Ind w:w="0" w:type="dxa"/>
      <w:tblBorders>
        <w:top w:val="single" w:sz="8" w:space="0" w:color="910D28" w:themeColor="accent1"/>
        <w:left w:val="single" w:sz="8" w:space="0" w:color="910D28" w:themeColor="accent1"/>
        <w:bottom w:val="single" w:sz="8" w:space="0" w:color="910D28" w:themeColor="accent1"/>
        <w:right w:val="single" w:sz="8" w:space="0" w:color="910D28"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Ind w:w="0" w:type="dxa"/>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Ind w:w="0" w:type="dxa"/>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Ind w:w="0" w:type="dxa"/>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Ind w:w="0" w:type="dxa"/>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CellMar>
        <w:top w:w="0" w:type="dxa"/>
        <w:left w:w="108" w:type="dxa"/>
        <w:bottom w:w="0" w:type="dxa"/>
        <w:right w:w="108" w:type="dxa"/>
      </w:tblCellMar>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Ind w:w="0" w:type="dxa"/>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CellMar>
        <w:top w:w="0" w:type="dxa"/>
        <w:left w:w="108" w:type="dxa"/>
        <w:bottom w:w="0" w:type="dxa"/>
        <w:right w:w="108" w:type="dxa"/>
      </w:tblCellMar>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Ind w:w="0" w:type="dxa"/>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CellMar>
        <w:top w:w="0" w:type="dxa"/>
        <w:left w:w="108" w:type="dxa"/>
        <w:bottom w:w="0" w:type="dxa"/>
        <w:right w:w="108" w:type="dxa"/>
      </w:tblCellMar>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Ind w:w="0" w:type="dxa"/>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Ind w:w="0" w:type="dxa"/>
      <w:tblCellMar>
        <w:top w:w="0" w:type="dxa"/>
        <w:left w:w="108" w:type="dxa"/>
        <w:bottom w:w="0" w:type="dxa"/>
        <w:right w:w="108" w:type="dxa"/>
      </w:tblCellMar>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styleId="Footer">
    <w:name w:val="footer"/>
    <w:basedOn w:val="Normal"/>
    <w:link w:val="FooterChar"/>
    <w:uiPriority w:val="99"/>
    <w:unhideWhenUsed/>
    <w:rsid w:val="008B72B6"/>
    <w:pPr>
      <w:tabs>
        <w:tab w:val="center" w:pos="4680"/>
        <w:tab w:val="right" w:pos="9360"/>
      </w:tabs>
    </w:pPr>
  </w:style>
  <w:style w:type="character" w:customStyle="1" w:styleId="FooterChar">
    <w:name w:val="Footer Char"/>
    <w:basedOn w:val="DefaultParagraphFont"/>
    <w:link w:val="Footer"/>
    <w:uiPriority w:val="99"/>
    <w:rsid w:val="008B72B6"/>
    <w:rPr>
      <w:rFonts w:ascii="Calibri" w:hAnsi="Calibri"/>
      <w:color w:val="2E2E2E" w:themeColor="text1"/>
      <w:sz w:val="18"/>
    </w:rPr>
  </w:style>
  <w:style w:type="character" w:styleId="SubtleEmphasis">
    <w:name w:val="Subtle Emphasis"/>
    <w:basedOn w:val="DefaultParagraphFont"/>
    <w:uiPriority w:val="19"/>
    <w:qFormat/>
    <w:rsid w:val="009809C2"/>
    <w:rPr>
      <w:i/>
      <w:iCs/>
      <w:color w:val="626262" w:themeColor="text1" w:themeTint="BF"/>
    </w:rPr>
  </w:style>
  <w:style w:type="character" w:styleId="Hyperlink">
    <w:name w:val="Hyperlink"/>
    <w:basedOn w:val="DefaultParagraphFont"/>
    <w:uiPriority w:val="99"/>
    <w:unhideWhenUsed/>
    <w:rsid w:val="00262FD7"/>
    <w:rPr>
      <w:color w:val="289CC7" w:themeColor="hyperlink"/>
      <w:u w:val="single"/>
    </w:rPr>
  </w:style>
  <w:style w:type="character" w:styleId="Emphasis">
    <w:name w:val="Emphasis"/>
    <w:basedOn w:val="DefaultParagraphFont"/>
    <w:uiPriority w:val="20"/>
    <w:qFormat/>
    <w:rsid w:val="00262FD7"/>
    <w:rPr>
      <w:i/>
      <w:iCs/>
    </w:rPr>
  </w:style>
  <w:style w:type="paragraph" w:styleId="Title">
    <w:name w:val="Title"/>
    <w:basedOn w:val="Normal"/>
    <w:next w:val="Normal"/>
    <w:link w:val="TitleChar"/>
    <w:uiPriority w:val="10"/>
    <w:qFormat/>
    <w:rsid w:val="00262FD7"/>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62FD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953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 Id="rId1" Type="http://schemas.openxmlformats.org/officeDocument/2006/relationships/styles" Target="styles.xml" /><Relationship Id="rId2" Type="http://schemas.openxmlformats.org/officeDocument/2006/relationships/settings" Target="settings.xml" /></Relationships>
</file>

<file path=word/_rels/footer1.xml.rels><?xml version="1.0" encoding="UTF-8" standalone="yes"?>
<Relationships xmlns="http://schemas.openxmlformats.org/package/2006/relationships"><Relationship Id="rId1" Type="http://schemas.openxmlformats.org/officeDocument/2006/relationships/image" Target="media/image1.jpg" /></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2870</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Microsoft Office User</cp:lastModifiedBy>
  <cp:revision>2</cp:revision>
  <dcterms:created xsi:type="dcterms:W3CDTF">2016-04-25T17:26:00Z</dcterms:created>
  <dcterms:modified xsi:type="dcterms:W3CDTF">2016-04-25T17:26:00Z</dcterms:modified>
</cp:coreProperties>
</file>