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407D" w14:textId="7C1FA790" w:rsidR="00141663" w:rsidRPr="00120F47" w:rsidRDefault="00120F47" w:rsidP="00120F47">
      <w:pPr>
        <w:pStyle w:val="Heading1"/>
        <w:rPr>
          <w:rFonts w:ascii="OpenSans" w:hAnsi="OpenSans" w:cs="OpenSans"/>
          <w:color w:val="4E6F74"/>
          <w:sz w:val="14"/>
          <w:szCs w:val="14"/>
        </w:rPr>
      </w:pPr>
      <w:r>
        <w:rPr>
          <w:lang w:val="es"/>
        </w:rPr>
        <w:t>Hoja de apuntes 1 del estudiante - Normativa gubernamental</w:t>
      </w:r>
      <w:r>
        <w:rPr>
          <w:b w:val="0"/>
          <w:bCs w:val="0"/>
          <w:lang w:val="es"/>
        </w:rPr>
        <w:br/>
      </w:r>
    </w:p>
    <w:tbl>
      <w:tblPr>
        <w:tblStyle w:val="GridTable1Light-Accent21"/>
        <w:tblW w:w="10795" w:type="dxa"/>
        <w:tblLook w:val="04A0" w:firstRow="1" w:lastRow="0" w:firstColumn="1" w:lastColumn="0" w:noHBand="0" w:noVBand="1"/>
      </w:tblPr>
      <w:tblGrid>
        <w:gridCol w:w="1975"/>
        <w:gridCol w:w="5130"/>
        <w:gridCol w:w="3690"/>
      </w:tblGrid>
      <w:tr w:rsidR="00120F47" w:rsidRPr="00F7470B" w14:paraId="28A09C0B" w14:textId="77777777" w:rsidTr="002269B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75" w:type="dxa"/>
            <w:shd w:val="clear" w:color="auto" w:fill="3E5C61" w:themeFill="accent2"/>
            <w:vAlign w:val="center"/>
          </w:tcPr>
          <w:p w14:paraId="784F5804" w14:textId="2B0B28C1" w:rsidR="00120F47" w:rsidRPr="00F7470B" w:rsidRDefault="00120F47" w:rsidP="00141663">
            <w:pPr>
              <w:jc w:val="center"/>
              <w:rPr>
                <w:rFonts w:asciiTheme="majorHAnsi" w:hAnsiTheme="majorHAnsi"/>
                <w:color w:val="FFFFFF" w:themeColor="background1"/>
                <w:sz w:val="24"/>
                <w:szCs w:val="24"/>
              </w:rPr>
            </w:pPr>
            <w:r>
              <w:rPr>
                <w:rFonts w:asciiTheme="majorHAnsi" w:hAnsiTheme="majorHAnsi"/>
                <w:color w:val="FFFFFF" w:themeColor="background1"/>
                <w:sz w:val="24"/>
                <w:szCs w:val="24"/>
                <w:lang w:val="es"/>
              </w:rPr>
              <w:t xml:space="preserve">Actividades posibles </w:t>
            </w:r>
          </w:p>
        </w:tc>
        <w:tc>
          <w:tcPr>
            <w:tcW w:w="5130" w:type="dxa"/>
            <w:shd w:val="clear" w:color="auto" w:fill="3E5C61" w:themeFill="accent2"/>
            <w:vAlign w:val="center"/>
          </w:tcPr>
          <w:p w14:paraId="16F0958E" w14:textId="29620210" w:rsidR="00120F47" w:rsidRPr="00F7470B" w:rsidRDefault="00120F47" w:rsidP="001416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szCs w:val="24"/>
              </w:rPr>
            </w:pPr>
            <w:r>
              <w:rPr>
                <w:rFonts w:asciiTheme="majorHAnsi" w:hAnsiTheme="majorHAnsi"/>
                <w:color w:val="FFFFFF" w:themeColor="background1"/>
                <w:sz w:val="24"/>
                <w:szCs w:val="24"/>
                <w:lang w:val="es"/>
              </w:rPr>
              <w:t>Normativa gubernamental</w:t>
            </w:r>
          </w:p>
        </w:tc>
        <w:tc>
          <w:tcPr>
            <w:tcW w:w="3690" w:type="dxa"/>
            <w:shd w:val="clear" w:color="auto" w:fill="3E5C61" w:themeFill="accent2"/>
            <w:vAlign w:val="center"/>
          </w:tcPr>
          <w:p w14:paraId="26A6250E" w14:textId="0AC209FB" w:rsidR="00120F47" w:rsidRPr="00F7470B" w:rsidRDefault="00120F47" w:rsidP="001416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szCs w:val="24"/>
              </w:rPr>
            </w:pPr>
            <w:r>
              <w:rPr>
                <w:rFonts w:asciiTheme="majorHAnsi" w:hAnsiTheme="majorHAnsi"/>
                <w:color w:val="FFFFFF" w:themeColor="background1"/>
                <w:sz w:val="24"/>
                <w:szCs w:val="24"/>
                <w:lang w:val="es"/>
              </w:rPr>
              <w:t>Federal, estatal, local</w:t>
            </w:r>
          </w:p>
        </w:tc>
      </w:tr>
      <w:tr w:rsidR="00120F47" w:rsidRPr="00F7470B" w14:paraId="72CD3B32" w14:textId="77777777" w:rsidTr="002269BF">
        <w:tc>
          <w:tcPr>
            <w:cnfStyle w:val="001000000000" w:firstRow="0" w:lastRow="0" w:firstColumn="1" w:lastColumn="0" w:oddVBand="0" w:evenVBand="0" w:oddHBand="0" w:evenHBand="0" w:firstRowFirstColumn="0" w:firstRowLastColumn="0" w:lastRowFirstColumn="0" w:lastRowLastColumn="0"/>
            <w:tcW w:w="1975" w:type="dxa"/>
          </w:tcPr>
          <w:p w14:paraId="348F0C97" w14:textId="54FE8043" w:rsidR="00120F47" w:rsidRPr="00EB403C" w:rsidRDefault="000B0D8F" w:rsidP="000B0D8F">
            <w:pPr>
              <w:pStyle w:val="Heading2"/>
              <w:spacing w:before="0"/>
              <w:outlineLvl w:val="1"/>
              <w:rPr>
                <w:b/>
                <w:szCs w:val="22"/>
              </w:rPr>
            </w:pPr>
            <w:r>
              <w:rPr>
                <w:b/>
                <w:bCs/>
                <w:szCs w:val="22"/>
                <w:lang w:val="es"/>
              </w:rPr>
              <w:t>Desayunar</w:t>
            </w:r>
          </w:p>
        </w:tc>
        <w:tc>
          <w:tcPr>
            <w:tcW w:w="5130" w:type="dxa"/>
            <w:tcMar>
              <w:top w:w="144" w:type="dxa"/>
              <w:left w:w="115" w:type="dxa"/>
              <w:bottom w:w="144" w:type="dxa"/>
              <w:right w:w="115" w:type="dxa"/>
            </w:tcMar>
          </w:tcPr>
          <w:p w14:paraId="6EE2D857" w14:textId="08C6CFA7"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Inspecciones alimentarias, impuestos sobre la venta de alimentos, cupones para alimentos, etiquetado de calorías y nutrientes en los alimentos envasados</w:t>
            </w:r>
          </w:p>
        </w:tc>
        <w:tc>
          <w:tcPr>
            <w:tcW w:w="3690" w:type="dxa"/>
            <w:tcMar>
              <w:top w:w="144" w:type="dxa"/>
              <w:left w:w="115" w:type="dxa"/>
              <w:bottom w:w="144" w:type="dxa"/>
              <w:right w:w="115" w:type="dxa"/>
            </w:tcMar>
          </w:tcPr>
          <w:p w14:paraId="0F92797E" w14:textId="1F4C9355"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4B675A49" w14:textId="77777777" w:rsidTr="002269BF">
        <w:trPr>
          <w:trHeight w:val="548"/>
        </w:trPr>
        <w:tc>
          <w:tcPr>
            <w:cnfStyle w:val="001000000000" w:firstRow="0" w:lastRow="0" w:firstColumn="1" w:lastColumn="0" w:oddVBand="0" w:evenVBand="0" w:oddHBand="0" w:evenHBand="0" w:firstRowFirstColumn="0" w:firstRowLastColumn="0" w:lastRowFirstColumn="0" w:lastRowLastColumn="0"/>
            <w:tcW w:w="1975" w:type="dxa"/>
          </w:tcPr>
          <w:p w14:paraId="4664EF3D" w14:textId="584F842D" w:rsidR="00120F47" w:rsidRPr="00EB403C" w:rsidRDefault="00120F47" w:rsidP="000B0D8F">
            <w:pPr>
              <w:pStyle w:val="Heading2"/>
              <w:spacing w:before="0"/>
              <w:outlineLvl w:val="1"/>
              <w:rPr>
                <w:b/>
                <w:szCs w:val="22"/>
              </w:rPr>
            </w:pPr>
            <w:r>
              <w:rPr>
                <w:b/>
                <w:bCs/>
                <w:szCs w:val="22"/>
                <w:lang w:val="es"/>
              </w:rPr>
              <w:t>Ir de compras</w:t>
            </w:r>
          </w:p>
        </w:tc>
        <w:tc>
          <w:tcPr>
            <w:tcW w:w="5130" w:type="dxa"/>
            <w:tcMar>
              <w:top w:w="144" w:type="dxa"/>
              <w:left w:w="115" w:type="dxa"/>
              <w:bottom w:w="144" w:type="dxa"/>
              <w:right w:w="115" w:type="dxa"/>
            </w:tcMar>
          </w:tcPr>
          <w:p w14:paraId="293ADD97" w14:textId="5698370E"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Impuestos, etiquetas en la ropa y los productos, inspecciones en las fábricas, normas de seguridad en los alimentos y en la mayoría de los productos</w:t>
            </w:r>
          </w:p>
        </w:tc>
        <w:tc>
          <w:tcPr>
            <w:tcW w:w="3690" w:type="dxa"/>
            <w:tcMar>
              <w:top w:w="144" w:type="dxa"/>
              <w:left w:w="115" w:type="dxa"/>
              <w:bottom w:w="144" w:type="dxa"/>
              <w:right w:w="115" w:type="dxa"/>
            </w:tcMar>
          </w:tcPr>
          <w:p w14:paraId="5253A8F2" w14:textId="57BCF5B3"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53D30C45" w14:textId="77777777" w:rsidTr="002269BF">
        <w:trPr>
          <w:trHeight w:val="1034"/>
        </w:trPr>
        <w:tc>
          <w:tcPr>
            <w:cnfStyle w:val="001000000000" w:firstRow="0" w:lastRow="0" w:firstColumn="1" w:lastColumn="0" w:oddVBand="0" w:evenVBand="0" w:oddHBand="0" w:evenHBand="0" w:firstRowFirstColumn="0" w:firstRowLastColumn="0" w:lastRowFirstColumn="0" w:lastRowLastColumn="0"/>
            <w:tcW w:w="1975" w:type="dxa"/>
          </w:tcPr>
          <w:p w14:paraId="56FF8B58" w14:textId="2C20AA17" w:rsidR="00120F47" w:rsidRPr="00EB403C" w:rsidRDefault="00120F47" w:rsidP="000B0D8F">
            <w:pPr>
              <w:pStyle w:val="Heading2"/>
              <w:spacing w:before="0"/>
              <w:outlineLvl w:val="1"/>
              <w:rPr>
                <w:b/>
                <w:szCs w:val="22"/>
              </w:rPr>
            </w:pPr>
            <w:r>
              <w:rPr>
                <w:b/>
                <w:bCs/>
                <w:szCs w:val="22"/>
                <w:lang w:val="es"/>
              </w:rPr>
              <w:t>Conducir un vehículo (incluye motocicleta, vehículo de cuatro ruedas, etc.)</w:t>
            </w:r>
          </w:p>
        </w:tc>
        <w:tc>
          <w:tcPr>
            <w:tcW w:w="5130" w:type="dxa"/>
            <w:tcMar>
              <w:top w:w="144" w:type="dxa"/>
              <w:left w:w="115" w:type="dxa"/>
              <w:bottom w:w="144" w:type="dxa"/>
              <w:right w:w="115" w:type="dxa"/>
            </w:tcMar>
          </w:tcPr>
          <w:p w14:paraId="24918D3B" w14:textId="26F006D2"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Permiso de conducir, registro, matrícula, seguro, normas de tránsito, inspecciones de vehículos, controles de emisiones, impuesto sobre la gasolina, normas de seguridad de las fábricas, velocidades de circulación en las carreteras</w:t>
            </w:r>
          </w:p>
        </w:tc>
        <w:tc>
          <w:tcPr>
            <w:tcW w:w="3690" w:type="dxa"/>
            <w:tcMar>
              <w:top w:w="144" w:type="dxa"/>
              <w:left w:w="115" w:type="dxa"/>
              <w:bottom w:w="144" w:type="dxa"/>
              <w:right w:w="115" w:type="dxa"/>
            </w:tcMar>
          </w:tcPr>
          <w:p w14:paraId="7EE3D73D" w14:textId="072ABB5B"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582F1717" w14:textId="77777777" w:rsidTr="002269BF">
        <w:trPr>
          <w:trHeight w:val="827"/>
        </w:trPr>
        <w:tc>
          <w:tcPr>
            <w:cnfStyle w:val="001000000000" w:firstRow="0" w:lastRow="0" w:firstColumn="1" w:lastColumn="0" w:oddVBand="0" w:evenVBand="0" w:oddHBand="0" w:evenHBand="0" w:firstRowFirstColumn="0" w:firstRowLastColumn="0" w:lastRowFirstColumn="0" w:lastRowLastColumn="0"/>
            <w:tcW w:w="1975" w:type="dxa"/>
          </w:tcPr>
          <w:p w14:paraId="628A9D63" w14:textId="18E462E6" w:rsidR="00120F47" w:rsidRPr="00EB403C" w:rsidRDefault="00120F47" w:rsidP="000B0D8F">
            <w:pPr>
              <w:pStyle w:val="Heading2"/>
              <w:spacing w:before="0"/>
              <w:outlineLvl w:val="1"/>
              <w:rPr>
                <w:b/>
                <w:szCs w:val="22"/>
              </w:rPr>
            </w:pPr>
            <w:r>
              <w:rPr>
                <w:b/>
                <w:bCs/>
                <w:szCs w:val="22"/>
                <w:lang w:val="es"/>
              </w:rPr>
              <w:t>Ver la televisión o ir al cine</w:t>
            </w:r>
          </w:p>
          <w:p w14:paraId="7AC4D580" w14:textId="77777777" w:rsidR="00120F47" w:rsidRPr="00EB403C" w:rsidRDefault="00120F47" w:rsidP="000B0D8F">
            <w:pPr>
              <w:pStyle w:val="Heading2"/>
              <w:spacing w:before="0"/>
              <w:outlineLvl w:val="1"/>
              <w:rPr>
                <w:b/>
                <w:szCs w:val="22"/>
              </w:rPr>
            </w:pPr>
          </w:p>
        </w:tc>
        <w:tc>
          <w:tcPr>
            <w:tcW w:w="5130" w:type="dxa"/>
            <w:tcMar>
              <w:top w:w="144" w:type="dxa"/>
              <w:left w:w="115" w:type="dxa"/>
              <w:bottom w:w="144" w:type="dxa"/>
              <w:right w:w="115" w:type="dxa"/>
            </w:tcMar>
          </w:tcPr>
          <w:p w14:paraId="6C3F76F9" w14:textId="3D133FD7"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La Comisión Federal de Comunicaciones controla las ondas y regula todas las emisoras de televisión, las leyes contra la blasfemia, la desnudez y el control parental, la clasificación de las películas y los programas de televisión</w:t>
            </w:r>
          </w:p>
        </w:tc>
        <w:tc>
          <w:tcPr>
            <w:tcW w:w="3690" w:type="dxa"/>
            <w:tcMar>
              <w:top w:w="144" w:type="dxa"/>
              <w:left w:w="115" w:type="dxa"/>
              <w:bottom w:w="144" w:type="dxa"/>
              <w:right w:w="115" w:type="dxa"/>
            </w:tcMar>
          </w:tcPr>
          <w:p w14:paraId="59C428D0" w14:textId="0D62580C"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68977EE7" w14:textId="77777777" w:rsidTr="002269BF">
        <w:tc>
          <w:tcPr>
            <w:cnfStyle w:val="001000000000" w:firstRow="0" w:lastRow="0" w:firstColumn="1" w:lastColumn="0" w:oddVBand="0" w:evenVBand="0" w:oddHBand="0" w:evenHBand="0" w:firstRowFirstColumn="0" w:firstRowLastColumn="0" w:lastRowFirstColumn="0" w:lastRowLastColumn="0"/>
            <w:tcW w:w="1975" w:type="dxa"/>
          </w:tcPr>
          <w:p w14:paraId="2195B821" w14:textId="652C4037" w:rsidR="00120F47" w:rsidRPr="00EB403C" w:rsidRDefault="00120F47" w:rsidP="000B0D8F">
            <w:pPr>
              <w:pStyle w:val="Heading2"/>
              <w:spacing w:before="0"/>
              <w:outlineLvl w:val="1"/>
              <w:rPr>
                <w:b/>
                <w:szCs w:val="22"/>
              </w:rPr>
            </w:pPr>
            <w:r>
              <w:rPr>
                <w:b/>
                <w:bCs/>
                <w:szCs w:val="22"/>
                <w:lang w:val="es"/>
              </w:rPr>
              <w:t>Practicar un deporte</w:t>
            </w:r>
          </w:p>
        </w:tc>
        <w:tc>
          <w:tcPr>
            <w:tcW w:w="5130" w:type="dxa"/>
            <w:tcMar>
              <w:top w:w="144" w:type="dxa"/>
              <w:left w:w="115" w:type="dxa"/>
              <w:bottom w:w="144" w:type="dxa"/>
              <w:right w:w="115" w:type="dxa"/>
            </w:tcMar>
          </w:tcPr>
          <w:p w14:paraId="07C59D9D" w14:textId="1A779E34"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Reglas para el deporte, inspección gubernamental del equipo para el deporte, leyes que determinan la edad en que se puede practicar el deporte, reglas sobre las edades, el equipo, el juego en un campo público, el equipo de seguridad</w:t>
            </w:r>
          </w:p>
        </w:tc>
        <w:tc>
          <w:tcPr>
            <w:tcW w:w="3690" w:type="dxa"/>
            <w:tcMar>
              <w:top w:w="144" w:type="dxa"/>
              <w:left w:w="115" w:type="dxa"/>
              <w:bottom w:w="144" w:type="dxa"/>
              <w:right w:w="115" w:type="dxa"/>
            </w:tcMar>
          </w:tcPr>
          <w:p w14:paraId="433C386C" w14:textId="10D86A80"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39761007" w14:textId="77777777" w:rsidTr="002269BF">
        <w:tc>
          <w:tcPr>
            <w:cnfStyle w:val="001000000000" w:firstRow="0" w:lastRow="0" w:firstColumn="1" w:lastColumn="0" w:oddVBand="0" w:evenVBand="0" w:oddHBand="0" w:evenHBand="0" w:firstRowFirstColumn="0" w:firstRowLastColumn="0" w:lastRowFirstColumn="0" w:lastRowLastColumn="0"/>
            <w:tcW w:w="1975" w:type="dxa"/>
          </w:tcPr>
          <w:p w14:paraId="16EC6506" w14:textId="712F0313" w:rsidR="00120F47" w:rsidRPr="00EB403C" w:rsidRDefault="00120F47" w:rsidP="000B0D8F">
            <w:pPr>
              <w:pStyle w:val="Heading2"/>
              <w:spacing w:before="0"/>
              <w:outlineLvl w:val="1"/>
              <w:rPr>
                <w:b/>
                <w:szCs w:val="22"/>
              </w:rPr>
            </w:pPr>
            <w:r>
              <w:rPr>
                <w:b/>
                <w:bCs/>
                <w:szCs w:val="22"/>
                <w:lang w:val="es"/>
              </w:rPr>
              <w:t>Dormir</w:t>
            </w:r>
          </w:p>
          <w:p w14:paraId="05EC4963" w14:textId="77777777" w:rsidR="00120F47" w:rsidRPr="00EB403C" w:rsidRDefault="00120F47" w:rsidP="000B0D8F">
            <w:pPr>
              <w:pStyle w:val="Heading2"/>
              <w:spacing w:before="0"/>
              <w:outlineLvl w:val="1"/>
              <w:rPr>
                <w:b/>
                <w:szCs w:val="22"/>
              </w:rPr>
            </w:pPr>
          </w:p>
        </w:tc>
        <w:tc>
          <w:tcPr>
            <w:tcW w:w="5130" w:type="dxa"/>
            <w:tcMar>
              <w:top w:w="144" w:type="dxa"/>
              <w:left w:w="115" w:type="dxa"/>
              <w:bottom w:w="144" w:type="dxa"/>
              <w:right w:w="115" w:type="dxa"/>
            </w:tcMar>
          </w:tcPr>
          <w:p w14:paraId="54C802E7" w14:textId="7C3B0017"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Normativa sobre inspecciones de colchones, almohadas y ropa de cama, normativa sobre fábricas, normativa sobre muebles, horario de verano</w:t>
            </w:r>
          </w:p>
        </w:tc>
        <w:tc>
          <w:tcPr>
            <w:tcW w:w="3690" w:type="dxa"/>
            <w:tcMar>
              <w:top w:w="144" w:type="dxa"/>
              <w:left w:w="115" w:type="dxa"/>
              <w:bottom w:w="144" w:type="dxa"/>
              <w:right w:w="115" w:type="dxa"/>
            </w:tcMar>
          </w:tcPr>
          <w:p w14:paraId="18242AA4" w14:textId="597A756F"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49544DF3" w14:textId="77777777" w:rsidTr="002269BF">
        <w:trPr>
          <w:trHeight w:val="1331"/>
        </w:trPr>
        <w:tc>
          <w:tcPr>
            <w:cnfStyle w:val="001000000000" w:firstRow="0" w:lastRow="0" w:firstColumn="1" w:lastColumn="0" w:oddVBand="0" w:evenVBand="0" w:oddHBand="0" w:evenHBand="0" w:firstRowFirstColumn="0" w:firstRowLastColumn="0" w:lastRowFirstColumn="0" w:lastRowLastColumn="0"/>
            <w:tcW w:w="1975" w:type="dxa"/>
          </w:tcPr>
          <w:p w14:paraId="0151B50A" w14:textId="194317E7" w:rsidR="00120F47" w:rsidRPr="00EB403C" w:rsidRDefault="00120F47" w:rsidP="000B0D8F">
            <w:pPr>
              <w:pStyle w:val="Heading2"/>
              <w:spacing w:before="0"/>
              <w:outlineLvl w:val="1"/>
              <w:rPr>
                <w:b/>
                <w:szCs w:val="22"/>
              </w:rPr>
            </w:pPr>
            <w:r>
              <w:rPr>
                <w:b/>
                <w:bCs/>
                <w:szCs w:val="22"/>
                <w:lang w:val="es"/>
              </w:rPr>
              <w:t>Ir a la iglesia</w:t>
            </w:r>
          </w:p>
        </w:tc>
        <w:tc>
          <w:tcPr>
            <w:tcW w:w="5130" w:type="dxa"/>
            <w:tcMar>
              <w:top w:w="144" w:type="dxa"/>
              <w:left w:w="115" w:type="dxa"/>
              <w:bottom w:w="144" w:type="dxa"/>
              <w:right w:w="115" w:type="dxa"/>
            </w:tcMar>
          </w:tcPr>
          <w:p w14:paraId="369AE19A" w14:textId="5FB1A668" w:rsidR="00120F47" w:rsidRPr="00EB403C"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Estatus de entidad sin fines de lucro, normativa sobre el mantenimiento del estatus de entidad sinfines de lucro con el IRS, seguro de responsabilidad civil, normativa sobre los empleados, separación legal de la Iglesia y el Estado</w:t>
            </w:r>
          </w:p>
        </w:tc>
        <w:tc>
          <w:tcPr>
            <w:tcW w:w="3690" w:type="dxa"/>
            <w:tcMar>
              <w:top w:w="144" w:type="dxa"/>
              <w:left w:w="115" w:type="dxa"/>
              <w:bottom w:w="144" w:type="dxa"/>
              <w:right w:w="115" w:type="dxa"/>
            </w:tcMar>
          </w:tcPr>
          <w:p w14:paraId="6ECDA7C9" w14:textId="49F8015C"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4E586A80" w14:textId="77777777" w:rsidTr="002269BF">
        <w:tc>
          <w:tcPr>
            <w:cnfStyle w:val="001000000000" w:firstRow="0" w:lastRow="0" w:firstColumn="1" w:lastColumn="0" w:oddVBand="0" w:evenVBand="0" w:oddHBand="0" w:evenHBand="0" w:firstRowFirstColumn="0" w:firstRowLastColumn="0" w:lastRowFirstColumn="0" w:lastRowLastColumn="0"/>
            <w:tcW w:w="1975" w:type="dxa"/>
          </w:tcPr>
          <w:p w14:paraId="2F8500DB" w14:textId="02853C77" w:rsidR="00120F47" w:rsidRPr="00EB403C" w:rsidRDefault="00120F47" w:rsidP="000B0D8F">
            <w:pPr>
              <w:pStyle w:val="Heading2"/>
              <w:spacing w:before="0"/>
              <w:outlineLvl w:val="1"/>
              <w:rPr>
                <w:b/>
                <w:szCs w:val="22"/>
              </w:rPr>
            </w:pPr>
            <w:r>
              <w:rPr>
                <w:b/>
                <w:bCs/>
                <w:szCs w:val="22"/>
                <w:lang w:val="es"/>
              </w:rPr>
              <w:t xml:space="preserve">Comer en un restaurante </w:t>
            </w:r>
          </w:p>
        </w:tc>
        <w:tc>
          <w:tcPr>
            <w:tcW w:w="5130" w:type="dxa"/>
            <w:tcMar>
              <w:top w:w="144" w:type="dxa"/>
              <w:left w:w="115" w:type="dxa"/>
              <w:bottom w:w="144" w:type="dxa"/>
              <w:right w:w="115" w:type="dxa"/>
            </w:tcMar>
          </w:tcPr>
          <w:p w14:paraId="1C7EA16F" w14:textId="124478C9" w:rsidR="00120F47" w:rsidRPr="00EB403C" w:rsidRDefault="00C765E1"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2"/>
                <w:szCs w:val="22"/>
              </w:rPr>
            </w:pPr>
            <w:r>
              <w:rPr>
                <w:rFonts w:asciiTheme="majorHAnsi" w:hAnsiTheme="majorHAnsi"/>
                <w:color w:val="3E5C61" w:themeColor="accent2"/>
                <w:sz w:val="22"/>
                <w:szCs w:val="22"/>
                <w:lang w:val="es"/>
              </w:rPr>
              <w:t>Inspecciones alimentarias, licencias, permisos, requisitos de edad de los trabajadores, permisos de manipulación de alimentos</w:t>
            </w:r>
          </w:p>
        </w:tc>
        <w:tc>
          <w:tcPr>
            <w:tcW w:w="3690" w:type="dxa"/>
            <w:tcMar>
              <w:top w:w="144" w:type="dxa"/>
              <w:left w:w="115" w:type="dxa"/>
              <w:bottom w:w="144" w:type="dxa"/>
              <w:right w:w="115" w:type="dxa"/>
            </w:tcMar>
          </w:tcPr>
          <w:p w14:paraId="4103EAED" w14:textId="77777777"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3C3E46A3" w14:textId="77777777" w:rsidTr="002269BF">
        <w:trPr>
          <w:trHeight w:val="656"/>
        </w:trPr>
        <w:tc>
          <w:tcPr>
            <w:cnfStyle w:val="001000000000" w:firstRow="0" w:lastRow="0" w:firstColumn="1" w:lastColumn="0" w:oddVBand="0" w:evenVBand="0" w:oddHBand="0" w:evenHBand="0" w:firstRowFirstColumn="0" w:firstRowLastColumn="0" w:lastRowFirstColumn="0" w:lastRowLastColumn="0"/>
            <w:tcW w:w="1975" w:type="dxa"/>
          </w:tcPr>
          <w:p w14:paraId="032DF271" w14:textId="7F609B25" w:rsidR="00120F47" w:rsidRPr="00F7470B" w:rsidRDefault="00120F47" w:rsidP="000B0D8F">
            <w:pPr>
              <w:pStyle w:val="Heading2"/>
              <w:spacing w:before="0"/>
              <w:outlineLvl w:val="1"/>
              <w:rPr>
                <w:b/>
                <w:sz w:val="24"/>
                <w:szCs w:val="24"/>
              </w:rPr>
            </w:pPr>
          </w:p>
        </w:tc>
        <w:tc>
          <w:tcPr>
            <w:tcW w:w="5130" w:type="dxa"/>
            <w:tcMar>
              <w:top w:w="144" w:type="dxa"/>
              <w:left w:w="115" w:type="dxa"/>
              <w:bottom w:w="144" w:type="dxa"/>
              <w:right w:w="115" w:type="dxa"/>
            </w:tcMar>
          </w:tcPr>
          <w:p w14:paraId="14BA8736" w14:textId="77777777"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3690" w:type="dxa"/>
            <w:tcMar>
              <w:top w:w="144" w:type="dxa"/>
              <w:left w:w="115" w:type="dxa"/>
              <w:bottom w:w="144" w:type="dxa"/>
              <w:right w:w="115" w:type="dxa"/>
            </w:tcMar>
          </w:tcPr>
          <w:p w14:paraId="52E1D1E6" w14:textId="77777777"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r w:rsidR="00120F47" w:rsidRPr="00F7470B" w14:paraId="0146FFF3" w14:textId="77777777" w:rsidTr="002269BF">
        <w:trPr>
          <w:trHeight w:val="521"/>
        </w:trPr>
        <w:tc>
          <w:tcPr>
            <w:cnfStyle w:val="001000000000" w:firstRow="0" w:lastRow="0" w:firstColumn="1" w:lastColumn="0" w:oddVBand="0" w:evenVBand="0" w:oddHBand="0" w:evenHBand="0" w:firstRowFirstColumn="0" w:firstRowLastColumn="0" w:lastRowFirstColumn="0" w:lastRowLastColumn="0"/>
            <w:tcW w:w="1975" w:type="dxa"/>
          </w:tcPr>
          <w:p w14:paraId="471EBD72" w14:textId="77777777" w:rsidR="00120F47" w:rsidRPr="00F7470B" w:rsidRDefault="00120F47" w:rsidP="000B0D8F">
            <w:pPr>
              <w:pStyle w:val="Heading2"/>
              <w:spacing w:before="0"/>
              <w:outlineLvl w:val="1"/>
              <w:rPr>
                <w:b/>
                <w:sz w:val="24"/>
                <w:szCs w:val="24"/>
              </w:rPr>
            </w:pPr>
          </w:p>
        </w:tc>
        <w:tc>
          <w:tcPr>
            <w:tcW w:w="5130" w:type="dxa"/>
            <w:tcMar>
              <w:top w:w="144" w:type="dxa"/>
              <w:left w:w="115" w:type="dxa"/>
              <w:bottom w:w="144" w:type="dxa"/>
              <w:right w:w="115" w:type="dxa"/>
            </w:tcMar>
          </w:tcPr>
          <w:p w14:paraId="01569E67" w14:textId="77777777"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c>
          <w:tcPr>
            <w:tcW w:w="3690" w:type="dxa"/>
            <w:tcMar>
              <w:top w:w="144" w:type="dxa"/>
              <w:left w:w="115" w:type="dxa"/>
              <w:bottom w:w="144" w:type="dxa"/>
              <w:right w:w="115" w:type="dxa"/>
            </w:tcMar>
          </w:tcPr>
          <w:p w14:paraId="73077CAD" w14:textId="77777777" w:rsidR="00120F47" w:rsidRPr="00F7470B" w:rsidRDefault="00120F47" w:rsidP="000B0D8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 w:val="24"/>
                <w:szCs w:val="24"/>
              </w:rPr>
            </w:pPr>
          </w:p>
        </w:tc>
      </w:tr>
    </w:tbl>
    <w:p w14:paraId="7D7E2FA7" w14:textId="56EC941A" w:rsidR="00141663" w:rsidRPr="00141663" w:rsidRDefault="00141663" w:rsidP="00EB403C"/>
    <w:sectPr w:rsidR="00141663" w:rsidRPr="00141663" w:rsidSect="002269BF">
      <w:footerReference w:type="default" r:id="rId6"/>
      <w:pgSz w:w="12240" w:h="15840"/>
      <w:pgMar w:top="54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E6E8" w14:textId="77777777" w:rsidR="00B22076" w:rsidRDefault="00B22076" w:rsidP="000858BD">
      <w:r>
        <w:separator/>
      </w:r>
    </w:p>
  </w:endnote>
  <w:endnote w:type="continuationSeparator" w:id="0">
    <w:p w14:paraId="2A7E9F89" w14:textId="77777777" w:rsidR="00B22076" w:rsidRDefault="00B2207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Arial Unicode MS"/>
    <w:charset w:val="80"/>
    <w:family w:val="roman"/>
    <w:pitch w:val="variable"/>
    <w:sig w:usb0="E00002FF" w:usb1="2AC7EDFE" w:usb2="00000012" w:usb3="00000000" w:csb0="00020001" w:csb1="00000000"/>
  </w:font>
  <w:font w:name="Majalla UI">
    <w:altName w:val="Sakkal Majall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36ED94EC" w:rsidR="002861BF" w:rsidRDefault="000B0D8F"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6528E01A">
              <wp:simplePos x="0" y="0"/>
              <wp:positionH relativeFrom="column">
                <wp:posOffset>970915</wp:posOffset>
              </wp:positionH>
              <wp:positionV relativeFrom="paragraph">
                <wp:posOffset>-86360</wp:posOffset>
              </wp:positionV>
              <wp:extent cx="5316855" cy="31686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5316855" cy="316865"/>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B34190C" w14:textId="61410F07" w:rsidR="00141663" w:rsidRDefault="000B0D8F" w:rsidP="000858BD">
                          <w:pPr>
                            <w:tabs>
                              <w:tab w:val="right" w:pos="7740"/>
                            </w:tabs>
                            <w:jc w:val="right"/>
                            <w:rPr>
                              <w:b/>
                              <w:sz w:val="22"/>
                              <w:szCs w:val="22"/>
                            </w:rPr>
                          </w:pPr>
                          <w:r>
                            <w:rPr>
                              <w:b/>
                              <w:bCs/>
                              <w:sz w:val="22"/>
                              <w:szCs w:val="22"/>
                              <w:lang w:val="es"/>
                            </w:rPr>
                            <w:t>GOVERNMENT POWER: DO THE ACTIONS OF GOVERNMENT AFFECT ME?</w:t>
                          </w:r>
                        </w:p>
                        <w:p w14:paraId="269DF973" w14:textId="77777777" w:rsidR="002861BF" w:rsidRDefault="00286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76.45pt;margin-top:-6.8pt;width:418.6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dqQIAAKMFAAAOAAAAZHJzL2Uyb0RvYy54bWysVE1v2zAMvQ/YfxB0T22ncd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" filled="f" stroked="f">
              <v:textbox>
                <w:txbxContent>
                  <w:p w14:paraId="1B34190C" w14:textId="61410F07" w:rsidR="00141663" w:rsidRDefault="000B0D8F" w:rsidP="000858BD">
                    <w:pPr>
                      <w:tabs>
                        <w:tab w:val="right" w:pos="7740"/>
                      </w:tabs>
                      <w:jc w:val="right"/>
                      <w:rPr>
                        <w:b/>
                        <w:sz w:val="22"/>
                        <w:szCs w:val="22"/>
                      </w:rPr>
                      <w:bidi w:val="0"/>
                    </w:pPr>
                    <w:r>
                      <w:rPr>
                        <w:sz w:val="22"/>
                        <w:szCs w:val="22"/>
                        <w:lang w:val="es"/>
                        <w:b w:val="1"/>
                        <w:bCs w:val="1"/>
                        <w:i w:val="0"/>
                        <w:iCs w:val="0"/>
                        <w:u w:val="none"/>
                        <w:vertAlign w:val="baseline"/>
                        <w:rtl w:val="0"/>
                      </w:rPr>
                      <w:t xml:space="preserve">GOVERNMENT POWER: DO THE ACTIONS OF GOVERNMENT AFFECT ME?</w:t>
                    </w:r>
                  </w:p>
                  <w:p w14:paraId="269DF973" w14:textId="77777777" w:rsidR="002861BF" w:rsidRDefault="002861BF"/>
                </w:txbxContent>
              </v:textbox>
            </v:shape>
          </w:pict>
        </mc:Fallback>
      </mc:AlternateContent>
    </w:r>
    <w:r>
      <w:rPr>
        <w:noProof/>
        <w:lang w:val="es"/>
      </w:rPr>
      <w:drawing>
        <wp:anchor distT="0" distB="0" distL="114300" distR="114300" simplePos="0" relativeHeight="251658240" behindDoc="1" locked="0" layoutInCell="1" allowOverlap="1" wp14:anchorId="7572540A" wp14:editId="5376FD12">
          <wp:simplePos x="0" y="0"/>
          <wp:positionH relativeFrom="column">
            <wp:posOffset>1828800</wp:posOffset>
          </wp:positionH>
          <wp:positionV relativeFrom="paragraph">
            <wp:posOffset>-93213</wp:posOffset>
          </wp:positionV>
          <wp:extent cx="4966083" cy="316828"/>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060794" cy="322870"/>
                  </a:xfrm>
                  <a:prstGeom prst="rect">
                    <a:avLst/>
                  </a:prstGeom>
                </pic:spPr>
              </pic:pic>
            </a:graphicData>
          </a:graphic>
          <wp14:sizeRelH relativeFrom="margin">
            <wp14:pctWidth>0</wp14:pctWidth>
          </wp14:sizeRelH>
        </wp:anchor>
      </w:drawing>
    </w:r>
    <w:r>
      <w:rPr>
        <w:lang w:val="es"/>
      </w:rPr>
      <w:t xml:space="preserve"> </w:t>
    </w: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2F3D" w14:textId="77777777" w:rsidR="00B22076" w:rsidRDefault="00B22076" w:rsidP="000858BD">
      <w:r>
        <w:separator/>
      </w:r>
    </w:p>
  </w:footnote>
  <w:footnote w:type="continuationSeparator" w:id="0">
    <w:p w14:paraId="4E88EA2F" w14:textId="77777777" w:rsidR="00B22076" w:rsidRDefault="00B22076"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00F12"/>
    <w:rsid w:val="00076D63"/>
    <w:rsid w:val="000858BD"/>
    <w:rsid w:val="000A5261"/>
    <w:rsid w:val="000B0D8F"/>
    <w:rsid w:val="00120F47"/>
    <w:rsid w:val="00141663"/>
    <w:rsid w:val="001C7A8C"/>
    <w:rsid w:val="002269BF"/>
    <w:rsid w:val="002861BF"/>
    <w:rsid w:val="00373980"/>
    <w:rsid w:val="00496017"/>
    <w:rsid w:val="004E4D08"/>
    <w:rsid w:val="00505C98"/>
    <w:rsid w:val="005B2A6C"/>
    <w:rsid w:val="006427D3"/>
    <w:rsid w:val="00754101"/>
    <w:rsid w:val="007B1A17"/>
    <w:rsid w:val="009710A6"/>
    <w:rsid w:val="00A57937"/>
    <w:rsid w:val="00A841D3"/>
    <w:rsid w:val="00A90B46"/>
    <w:rsid w:val="00AB38AC"/>
    <w:rsid w:val="00B04E3D"/>
    <w:rsid w:val="00B22076"/>
    <w:rsid w:val="00B441CE"/>
    <w:rsid w:val="00C765E1"/>
    <w:rsid w:val="00CF653B"/>
    <w:rsid w:val="00D77E23"/>
    <w:rsid w:val="00DC0159"/>
    <w:rsid w:val="00E04CBE"/>
    <w:rsid w:val="00EB403C"/>
    <w:rsid w:val="00F7470B"/>
    <w:rsid w:val="00FC7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373980"/>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373980"/>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table" w:customStyle="1" w:styleId="GridTable1Light-Accent21">
    <w:name w:val="Grid Table 1 Light - Accent 21"/>
    <w:basedOn w:val="TableNormal"/>
    <w:uiPriority w:val="46"/>
    <w:rsid w:val="00141663"/>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141663"/>
    <w:pPr>
      <w:tabs>
        <w:tab w:val="center" w:pos="4680"/>
        <w:tab w:val="right" w:pos="9360"/>
      </w:tabs>
    </w:pPr>
  </w:style>
  <w:style w:type="character" w:customStyle="1" w:styleId="FooterChar">
    <w:name w:val="Footer Char"/>
    <w:basedOn w:val="DefaultParagraphFont"/>
    <w:link w:val="Footer"/>
    <w:uiPriority w:val="99"/>
    <w:rsid w:val="00141663"/>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Andres Lopez</cp:lastModifiedBy>
  <cp:revision>4</cp:revision>
  <cp:lastPrinted>2016-03-29T16:45:00Z</cp:lastPrinted>
  <dcterms:created xsi:type="dcterms:W3CDTF">2016-03-29T16:45:00Z</dcterms:created>
  <dcterms:modified xsi:type="dcterms:W3CDTF">2022-06-08T21:48:00Z</dcterms:modified>
</cp:coreProperties>
</file>