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4C53871D" w:rsidR="00A841D3" w:rsidRPr="008B2869" w:rsidRDefault="009E1C52" w:rsidP="00A841D3">
      <w:pPr>
        <w:suppressAutoHyphens/>
        <w:spacing w:before="180"/>
        <w:rPr>
          <w:rStyle w:val="body"/>
          <w:rFonts w:ascii="Calibri" w:hAnsi="Calibri"/>
          <w:color w:val="2E2E2E"/>
          <w:sz w:val="28"/>
          <w:szCs w:val="28"/>
        </w:rPr>
      </w:pPr>
      <w:r w:rsidRPr="008B2869">
        <w:rPr>
          <w:rStyle w:val="Heading1Char"/>
          <w:color w:val="2E2E2E"/>
          <w:szCs w:val="28"/>
        </w:rPr>
        <w:t>SCISSOR LIFT PARALLEL PROOF SOLUTION</w:t>
      </w:r>
    </w:p>
    <w:p w14:paraId="2DBD0E14" w14:textId="3CFC0EE3" w:rsidR="00F22D50" w:rsidRPr="00F22D50" w:rsidRDefault="009E1C52" w:rsidP="00F22D50">
      <w:pPr>
        <w:rPr>
          <w:sz w:val="24"/>
        </w:rPr>
      </w:pPr>
      <w:r w:rsidRPr="009E1C52">
        <w:rPr>
          <w:rFonts w:cs="OpenSans-Bold"/>
          <w:b/>
          <w:bCs/>
          <w:caps/>
          <w:noProof/>
          <w:color w:val="A41E35"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692AA267" wp14:editId="67E8AE04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619250" cy="21958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D3" w:rsidRPr="00F22D50">
        <w:rPr>
          <w:rFonts w:cs="OpenSans-Bold"/>
          <w:b/>
          <w:bCs/>
          <w:caps/>
          <w:color w:val="A41E35"/>
          <w:sz w:val="24"/>
        </w:rPr>
        <w:br/>
      </w:r>
      <w:proofErr w:type="gramStart"/>
      <w:r w:rsidRPr="00F22D50">
        <w:rPr>
          <w:rStyle w:val="Heading2Char"/>
          <w:sz w:val="24"/>
          <w:szCs w:val="24"/>
        </w:rPr>
        <w:t>Given</w:t>
      </w:r>
      <w:r w:rsidR="00F22D50" w:rsidRPr="00F22D50">
        <w:rPr>
          <w:sz w:val="24"/>
        </w:rPr>
        <w:t xml:space="preserve"> </w:t>
      </w:r>
      <w:r>
        <w:rPr>
          <w:sz w:val="24"/>
        </w:rPr>
        <w:t xml:space="preserve"> </w:t>
      </w:r>
      <w:r w:rsidR="00F22D50" w:rsidRPr="00070656">
        <w:rPr>
          <w:color w:val="2E2E2E"/>
          <w:sz w:val="24"/>
        </w:rPr>
        <w:t>F</w:t>
      </w:r>
      <w:proofErr w:type="gramEnd"/>
      <w:r w:rsidR="00F22D50" w:rsidRPr="00070656">
        <w:rPr>
          <w:color w:val="2E2E2E"/>
          <w:sz w:val="24"/>
        </w:rPr>
        <w:t xml:space="preserve"> is the midpoint of LS and IT</w:t>
      </w:r>
    </w:p>
    <w:p w14:paraId="48D1F181" w14:textId="7E9D0F51" w:rsidR="00F22D50" w:rsidRPr="00F22D50" w:rsidRDefault="009E1C52" w:rsidP="00F22D50">
      <w:pPr>
        <w:rPr>
          <w:sz w:val="24"/>
        </w:rPr>
      </w:pPr>
      <w:proofErr w:type="gramStart"/>
      <w:r w:rsidRPr="00F22D50">
        <w:rPr>
          <w:rStyle w:val="Heading2Char"/>
          <w:sz w:val="24"/>
          <w:szCs w:val="24"/>
        </w:rPr>
        <w:t>Prove</w:t>
      </w:r>
      <w:r w:rsidRPr="00F22D50">
        <w:rPr>
          <w:sz w:val="24"/>
        </w:rPr>
        <w:t xml:space="preserve"> </w:t>
      </w:r>
      <w:r>
        <w:rPr>
          <w:sz w:val="24"/>
        </w:rPr>
        <w:t xml:space="preserve"> </w:t>
      </w:r>
      <w:r w:rsidR="00F22D50" w:rsidRPr="00070656">
        <w:rPr>
          <w:color w:val="2E2E2E"/>
          <w:sz w:val="24"/>
        </w:rPr>
        <w:t>LI</w:t>
      </w:r>
      <w:proofErr w:type="gramEnd"/>
      <w:r w:rsidR="00F22D50" w:rsidRPr="00070656">
        <w:rPr>
          <w:color w:val="2E2E2E"/>
          <w:sz w:val="24"/>
        </w:rPr>
        <w:t xml:space="preserve"> || TS</w:t>
      </w:r>
    </w:p>
    <w:p w14:paraId="1E13BDC5" w14:textId="77777777" w:rsidR="00F22D50" w:rsidRPr="00F22D50" w:rsidRDefault="00F22D50" w:rsidP="00F22D50">
      <w:pPr>
        <w:rPr>
          <w:sz w:val="24"/>
        </w:rPr>
      </w:pPr>
    </w:p>
    <w:p w14:paraId="3CE1FC1D" w14:textId="4D6CA07D" w:rsidR="009E1C52" w:rsidRDefault="009E1C52" w:rsidP="00F22D50">
      <w:pPr>
        <w:rPr>
          <w:color w:val="910D28" w:themeColor="accent1"/>
          <w:sz w:val="24"/>
        </w:rPr>
      </w:pPr>
      <w:r>
        <w:rPr>
          <w:b/>
          <w:color w:val="910D28" w:themeColor="accent1"/>
          <w:sz w:val="24"/>
        </w:rPr>
        <w:t>General R</w:t>
      </w:r>
      <w:r w:rsidRPr="009E1C52">
        <w:rPr>
          <w:b/>
          <w:color w:val="910D28" w:themeColor="accent1"/>
          <w:sz w:val="24"/>
        </w:rPr>
        <w:t>easoning</w:t>
      </w:r>
      <w:r w:rsidR="00F22D50" w:rsidRPr="009E1C52">
        <w:rPr>
          <w:color w:val="910D28" w:themeColor="accent1"/>
          <w:sz w:val="24"/>
        </w:rPr>
        <w:t xml:space="preserve"> </w:t>
      </w:r>
    </w:p>
    <w:p w14:paraId="7663F718" w14:textId="4491AC64" w:rsidR="00F22D50" w:rsidRPr="00070656" w:rsidRDefault="00F22D50" w:rsidP="00F22D50">
      <w:pPr>
        <w:rPr>
          <w:color w:val="2E2E2E"/>
          <w:sz w:val="24"/>
        </w:rPr>
      </w:pPr>
      <w:r w:rsidRPr="00070656">
        <w:rPr>
          <w:color w:val="2E2E2E"/>
          <w:sz w:val="24"/>
        </w:rPr>
        <w:t xml:space="preserve">Since F is the midpoint of both segments, we have two sets of congruent sides for the two triangles. The vertical angles create a pair of congruent angles. Since these angles are between the two sets of parallel sides, the two triangles are congruent by SAS. That means </w:t>
      </w:r>
      <w:r w:rsidRPr="00070656">
        <w:rPr>
          <w:color w:val="2E2E2E"/>
          <w:position w:val="-4"/>
          <w:sz w:val="24"/>
        </w:rPr>
        <w:object w:dxaOrig="260" w:dyaOrig="240" w14:anchorId="5D4B7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530438195" r:id="rId9"/>
        </w:object>
      </w:r>
      <w:r w:rsidRPr="00070656">
        <w:rPr>
          <w:color w:val="2E2E2E"/>
          <w:sz w:val="24"/>
        </w:rPr>
        <w:t xml:space="preserve">S is congruent to </w:t>
      </w:r>
      <w:r w:rsidRPr="00070656">
        <w:rPr>
          <w:color w:val="2E2E2E"/>
          <w:position w:val="-4"/>
          <w:sz w:val="24"/>
        </w:rPr>
        <w:object w:dxaOrig="260" w:dyaOrig="240" w14:anchorId="570A3487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530438196" r:id="rId10"/>
        </w:object>
      </w:r>
      <w:r w:rsidRPr="00070656">
        <w:rPr>
          <w:color w:val="2E2E2E"/>
          <w:sz w:val="24"/>
        </w:rPr>
        <w:t xml:space="preserve">L. These are alternate interior angles. Since they are congruent, that </w:t>
      </w:r>
      <w:proofErr w:type="gramStart"/>
      <w:r w:rsidRPr="00070656">
        <w:rPr>
          <w:color w:val="2E2E2E"/>
          <w:sz w:val="24"/>
        </w:rPr>
        <w:t xml:space="preserve">means </w:t>
      </w:r>
      <w:proofErr w:type="gramEnd"/>
      <w:r w:rsidRPr="00070656">
        <w:rPr>
          <w:color w:val="2E2E2E"/>
          <w:position w:val="-10"/>
          <w:sz w:val="24"/>
        </w:rPr>
        <w:object w:dxaOrig="800" w:dyaOrig="380" w14:anchorId="6E197C89">
          <v:shape id="_x0000_i1027" type="#_x0000_t75" style="width:39.75pt;height:18.75pt" o:ole="">
            <v:imagedata r:id="rId11" o:title=""/>
          </v:shape>
          <o:OLEObject Type="Embed" ProgID="Equation.3" ShapeID="_x0000_i1027" DrawAspect="Content" ObjectID="_1530438197" r:id="rId12"/>
        </w:object>
      </w:r>
      <w:r w:rsidRPr="00070656">
        <w:rPr>
          <w:color w:val="2E2E2E"/>
          <w:sz w:val="24"/>
        </w:rPr>
        <w:t>.</w:t>
      </w:r>
    </w:p>
    <w:p w14:paraId="0CDCE4AF" w14:textId="77777777" w:rsidR="00F22D50" w:rsidRDefault="00F22D50" w:rsidP="00F22D50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Y="22"/>
        <w:tblW w:w="93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="00C762A0" w:rsidRPr="00F22D50" w14:paraId="3383B8ED" w14:textId="77777777" w:rsidTr="00C762A0">
        <w:tc>
          <w:tcPr>
            <w:tcW w:w="4675" w:type="dxa"/>
            <w:shd w:val="clear" w:color="auto" w:fill="3E5C61" w:themeFill="accent2"/>
          </w:tcPr>
          <w:p w14:paraId="737311B5" w14:textId="77777777" w:rsidR="00C762A0" w:rsidRPr="0091460A" w:rsidRDefault="00C762A0" w:rsidP="00C762A0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 w:rsidRPr="0091460A">
              <w:rPr>
                <w:rStyle w:val="Heading2Char"/>
                <w:color w:val="FFFFFF" w:themeColor="background1"/>
                <w:sz w:val="24"/>
                <w:szCs w:val="24"/>
              </w:rPr>
              <w:t>STATEMENT</w:t>
            </w:r>
          </w:p>
        </w:tc>
        <w:tc>
          <w:tcPr>
            <w:tcW w:w="4680" w:type="dxa"/>
            <w:shd w:val="clear" w:color="auto" w:fill="3E5C61" w:themeFill="accent2"/>
          </w:tcPr>
          <w:p w14:paraId="207B4145" w14:textId="77777777" w:rsidR="00C762A0" w:rsidRPr="0091460A" w:rsidRDefault="00C762A0" w:rsidP="00C762A0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 w:rsidRPr="0091460A">
              <w:rPr>
                <w:rStyle w:val="Heading2Char"/>
                <w:color w:val="FFFFFF" w:themeColor="background1"/>
                <w:sz w:val="24"/>
                <w:szCs w:val="24"/>
              </w:rPr>
              <w:t>REASON</w:t>
            </w:r>
          </w:p>
        </w:tc>
      </w:tr>
      <w:tr w:rsidR="00C762A0" w:rsidRPr="00F22D50" w14:paraId="4B5DC85B" w14:textId="77777777" w:rsidTr="00C762A0">
        <w:tc>
          <w:tcPr>
            <w:tcW w:w="4675" w:type="dxa"/>
          </w:tcPr>
          <w:p w14:paraId="5F5A332A" w14:textId="77777777" w:rsidR="00C762A0" w:rsidRPr="00070656" w:rsidRDefault="00C762A0" w:rsidP="00C762A0">
            <w:pPr>
              <w:suppressAutoHyphens/>
              <w:spacing w:before="240" w:after="240"/>
              <w:rPr>
                <w:rStyle w:val="Heading2Char"/>
                <w:color w:val="2E2E2E"/>
                <w:sz w:val="24"/>
                <w:szCs w:val="24"/>
              </w:rPr>
            </w:pPr>
            <w:r w:rsidRPr="00070656">
              <w:rPr>
                <w:color w:val="2E2E2E"/>
                <w:sz w:val="24"/>
              </w:rPr>
              <w:t>1. F is the midpoint of LS and IT</w:t>
            </w:r>
          </w:p>
        </w:tc>
        <w:tc>
          <w:tcPr>
            <w:tcW w:w="4680" w:type="dxa"/>
          </w:tcPr>
          <w:p w14:paraId="2269AEA6" w14:textId="77777777" w:rsidR="00C762A0" w:rsidRPr="00070656" w:rsidRDefault="00C762A0" w:rsidP="00C762A0">
            <w:pPr>
              <w:suppressAutoHyphens/>
              <w:spacing w:before="240" w:after="240"/>
              <w:rPr>
                <w:rStyle w:val="Heading2Char"/>
                <w:color w:val="2E2E2E"/>
                <w:sz w:val="24"/>
                <w:szCs w:val="24"/>
              </w:rPr>
            </w:pPr>
            <w:r w:rsidRPr="00070656">
              <w:rPr>
                <w:color w:val="2E2E2E"/>
                <w:sz w:val="24"/>
              </w:rPr>
              <w:t>1. Given</w:t>
            </w:r>
          </w:p>
        </w:tc>
      </w:tr>
      <w:tr w:rsidR="00C762A0" w:rsidRPr="00F22D50" w14:paraId="05D478A8" w14:textId="77777777" w:rsidTr="00C762A0">
        <w:tc>
          <w:tcPr>
            <w:tcW w:w="4675" w:type="dxa"/>
          </w:tcPr>
          <w:p w14:paraId="67DC31C8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2. LF = FS and TF = FI</w:t>
            </w:r>
          </w:p>
        </w:tc>
        <w:tc>
          <w:tcPr>
            <w:tcW w:w="4680" w:type="dxa"/>
          </w:tcPr>
          <w:p w14:paraId="056EC6FD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2. Definition of midpoint</w:t>
            </w:r>
          </w:p>
        </w:tc>
      </w:tr>
      <w:tr w:rsidR="00C762A0" w:rsidRPr="00F22D50" w14:paraId="4E4BF9D7" w14:textId="77777777" w:rsidTr="00C762A0">
        <w:tc>
          <w:tcPr>
            <w:tcW w:w="4675" w:type="dxa"/>
          </w:tcPr>
          <w:p w14:paraId="432586F8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3. LF 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00" w14:anchorId="2535A2F6">
                <v:shape id="_x0000_i1028" type="#_x0000_t75" style="width:15pt;height:12.75pt" o:ole="">
                  <v:imagedata r:id="rId13" o:title=""/>
                </v:shape>
                <o:OLEObject Type="Embed" ProgID="Equation.3" ShapeID="_x0000_i1028" DrawAspect="Content" ObjectID="_1530438198" r:id="rId14"/>
              </w:object>
            </w:r>
            <w:r w:rsidRPr="00070656">
              <w:rPr>
                <w:color w:val="2E2E2E"/>
                <w:sz w:val="24"/>
              </w:rPr>
              <w:t xml:space="preserve"> FS and TF 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00" w14:anchorId="15B9849F">
                <v:shape id="_x0000_i1029" type="#_x0000_t75" style="width:15pt;height:12.75pt" o:ole="">
                  <v:imagedata r:id="rId15" o:title=""/>
                </v:shape>
                <o:OLEObject Type="Embed" ProgID="Equation.3" ShapeID="_x0000_i1029" DrawAspect="Content" ObjectID="_1530438199" r:id="rId16"/>
              </w:object>
            </w:r>
            <w:r w:rsidRPr="00070656">
              <w:rPr>
                <w:color w:val="2E2E2E"/>
                <w:sz w:val="24"/>
              </w:rPr>
              <w:t xml:space="preserve"> FI</w:t>
            </w:r>
          </w:p>
        </w:tc>
        <w:tc>
          <w:tcPr>
            <w:tcW w:w="4680" w:type="dxa"/>
          </w:tcPr>
          <w:p w14:paraId="11B7ABF1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3. Definition of congruent segments</w:t>
            </w:r>
          </w:p>
        </w:tc>
      </w:tr>
      <w:tr w:rsidR="00C762A0" w:rsidRPr="00F22D50" w14:paraId="0B006E4E" w14:textId="77777777" w:rsidTr="00C762A0">
        <w:tc>
          <w:tcPr>
            <w:tcW w:w="4675" w:type="dxa"/>
          </w:tcPr>
          <w:p w14:paraId="53BC9D46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4. </w:t>
            </w:r>
            <w:r w:rsidRPr="00070656">
              <w:rPr>
                <w:color w:val="2E2E2E"/>
                <w:position w:val="-4"/>
                <w:sz w:val="24"/>
              </w:rPr>
              <w:object w:dxaOrig="260" w:dyaOrig="240" w14:anchorId="092185A8">
                <v:shape id="_x0000_i1030" type="#_x0000_t75" style="width:12.75pt;height:12pt" o:ole="">
                  <v:imagedata r:id="rId8" o:title=""/>
                </v:shape>
                <o:OLEObject Type="Embed" ProgID="Equation.3" ShapeID="_x0000_i1030" DrawAspect="Content" ObjectID="_1530438200" r:id="rId17"/>
              </w:object>
            </w:r>
            <w:r w:rsidRPr="00070656">
              <w:rPr>
                <w:color w:val="2E2E2E"/>
                <w:sz w:val="24"/>
              </w:rPr>
              <w:t xml:space="preserve">LFI 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00" w14:anchorId="661132DB">
                <v:shape id="_x0000_i1031" type="#_x0000_t75" style="width:15pt;height:12.75pt" o:ole="">
                  <v:imagedata r:id="rId13" o:title=""/>
                </v:shape>
                <o:OLEObject Type="Embed" ProgID="Equation.3" ShapeID="_x0000_i1031" DrawAspect="Content" ObjectID="_1530438201" r:id="rId18"/>
              </w:object>
            </w:r>
            <w:r w:rsidRPr="00070656">
              <w:rPr>
                <w:color w:val="2E2E2E"/>
                <w:position w:val="-4"/>
                <w:sz w:val="24"/>
              </w:rPr>
              <w:object w:dxaOrig="260" w:dyaOrig="240" w14:anchorId="3CD8D792">
                <v:shape id="_x0000_i1032" type="#_x0000_t75" style="width:12.75pt;height:12pt" o:ole="">
                  <v:imagedata r:id="rId19" o:title=""/>
                </v:shape>
                <o:OLEObject Type="Embed" ProgID="Equation.3" ShapeID="_x0000_i1032" DrawAspect="Content" ObjectID="_1530438202" r:id="rId20"/>
              </w:object>
            </w:r>
            <w:r w:rsidRPr="00070656">
              <w:rPr>
                <w:color w:val="2E2E2E"/>
                <w:sz w:val="24"/>
              </w:rPr>
              <w:t>SFT</w:t>
            </w:r>
          </w:p>
        </w:tc>
        <w:tc>
          <w:tcPr>
            <w:tcW w:w="4680" w:type="dxa"/>
          </w:tcPr>
          <w:p w14:paraId="05EA5D0D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4. Vertical angles are congruent</w:t>
            </w:r>
          </w:p>
        </w:tc>
      </w:tr>
      <w:tr w:rsidR="00C762A0" w:rsidRPr="00F22D50" w14:paraId="47847D2A" w14:textId="77777777" w:rsidTr="00C762A0">
        <w:tc>
          <w:tcPr>
            <w:tcW w:w="4675" w:type="dxa"/>
          </w:tcPr>
          <w:p w14:paraId="2A944AC1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5. 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60" w14:anchorId="65D2D7F9">
                <v:shape id="_x0000_i1033" type="#_x0000_t75" style="width:11.25pt;height:12.75pt" o:ole="">
                  <v:imagedata r:id="rId21" o:title=""/>
                </v:shape>
                <o:OLEObject Type="Embed" ProgID="Equation.3" ShapeID="_x0000_i1033" DrawAspect="Content" ObjectID="_1530438203" r:id="rId22"/>
              </w:object>
            </w:r>
            <w:r w:rsidRPr="00070656">
              <w:rPr>
                <w:color w:val="2E2E2E"/>
                <w:sz w:val="24"/>
              </w:rPr>
              <w:t xml:space="preserve">LFI 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00" w14:anchorId="64B466C9">
                <v:shape id="_x0000_i1034" type="#_x0000_t75" style="width:15pt;height:12.75pt" o:ole="">
                  <v:imagedata r:id="rId13" o:title=""/>
                </v:shape>
                <o:OLEObject Type="Embed" ProgID="Equation.3" ShapeID="_x0000_i1034" DrawAspect="Content" ObjectID="_1530438204" r:id="rId23"/>
              </w:object>
            </w:r>
            <w:r w:rsidRPr="00070656">
              <w:rPr>
                <w:color w:val="2E2E2E"/>
                <w:position w:val="-4"/>
                <w:sz w:val="24"/>
              </w:rPr>
              <w:object w:dxaOrig="220" w:dyaOrig="260" w14:anchorId="77D82C78">
                <v:shape id="_x0000_i1035" type="#_x0000_t75" style="width:11.25pt;height:12.75pt" o:ole="">
                  <v:imagedata r:id="rId24" o:title=""/>
                </v:shape>
                <o:OLEObject Type="Embed" ProgID="Equation.3" ShapeID="_x0000_i1035" DrawAspect="Content" ObjectID="_1530438205" r:id="rId25"/>
              </w:object>
            </w:r>
            <w:r w:rsidRPr="00070656">
              <w:rPr>
                <w:color w:val="2E2E2E"/>
                <w:sz w:val="24"/>
              </w:rPr>
              <w:t>SFT</w:t>
            </w:r>
          </w:p>
        </w:tc>
        <w:tc>
          <w:tcPr>
            <w:tcW w:w="4680" w:type="dxa"/>
          </w:tcPr>
          <w:p w14:paraId="16048C3B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5. Side angle side </w:t>
            </w:r>
            <w:r>
              <w:rPr>
                <w:color w:val="2E2E2E"/>
                <w:sz w:val="24"/>
              </w:rPr>
              <w:t>theorem</w:t>
            </w:r>
            <w:r w:rsidRPr="00070656">
              <w:rPr>
                <w:color w:val="2E2E2E"/>
                <w:sz w:val="24"/>
              </w:rPr>
              <w:t xml:space="preserve"> for proving congruent triangles</w:t>
            </w:r>
          </w:p>
        </w:tc>
      </w:tr>
      <w:tr w:rsidR="00C762A0" w:rsidRPr="00F22D50" w14:paraId="3DBD525F" w14:textId="77777777" w:rsidTr="00C762A0">
        <w:tc>
          <w:tcPr>
            <w:tcW w:w="4675" w:type="dxa"/>
          </w:tcPr>
          <w:p w14:paraId="40C283E8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6. </w:t>
            </w:r>
            <w:r w:rsidRPr="00070656">
              <w:rPr>
                <w:color w:val="2E2E2E"/>
                <w:position w:val="-4"/>
                <w:sz w:val="24"/>
              </w:rPr>
              <w:object w:dxaOrig="260" w:dyaOrig="240" w14:anchorId="3B2EF6AC">
                <v:shape id="_x0000_i1036" type="#_x0000_t75" style="width:12.75pt;height:12pt" o:ole="">
                  <v:imagedata r:id="rId8" o:title=""/>
                </v:shape>
                <o:OLEObject Type="Embed" ProgID="Equation.3" ShapeID="_x0000_i1036" DrawAspect="Content" ObjectID="_1530438206" r:id="rId26"/>
              </w:object>
            </w:r>
            <w:r w:rsidRPr="00070656">
              <w:rPr>
                <w:color w:val="2E2E2E"/>
                <w:sz w:val="24"/>
              </w:rPr>
              <w:t>ILF</w:t>
            </w:r>
            <w:r w:rsidRPr="00070656">
              <w:rPr>
                <w:color w:val="2E2E2E"/>
                <w:position w:val="-4"/>
                <w:sz w:val="24"/>
              </w:rPr>
              <w:object w:dxaOrig="220" w:dyaOrig="200" w14:anchorId="13BA00B9">
                <v:shape id="_x0000_i1037" type="#_x0000_t75" style="width:15pt;height:12.75pt" o:ole="">
                  <v:imagedata r:id="rId13" o:title=""/>
                </v:shape>
                <o:OLEObject Type="Embed" ProgID="Equation.3" ShapeID="_x0000_i1037" DrawAspect="Content" ObjectID="_1530438207" r:id="rId27"/>
              </w:object>
            </w:r>
            <w:r w:rsidRPr="00070656">
              <w:rPr>
                <w:color w:val="2E2E2E"/>
                <w:position w:val="-4"/>
                <w:sz w:val="24"/>
              </w:rPr>
              <w:object w:dxaOrig="260" w:dyaOrig="240" w14:anchorId="61BA83AF">
                <v:shape id="_x0000_i1038" type="#_x0000_t75" style="width:12.75pt;height:12pt" o:ole="">
                  <v:imagedata r:id="rId19" o:title=""/>
                </v:shape>
                <o:OLEObject Type="Embed" ProgID="Equation.3" ShapeID="_x0000_i1038" DrawAspect="Content" ObjectID="_1530438208" r:id="rId28"/>
              </w:object>
            </w:r>
            <w:r w:rsidRPr="00070656">
              <w:rPr>
                <w:color w:val="2E2E2E"/>
                <w:sz w:val="24"/>
              </w:rPr>
              <w:t>TSF</w:t>
            </w:r>
          </w:p>
        </w:tc>
        <w:tc>
          <w:tcPr>
            <w:tcW w:w="4680" w:type="dxa"/>
          </w:tcPr>
          <w:p w14:paraId="014B3859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6. Corresponding parts of congruent triangles are congruent.</w:t>
            </w:r>
          </w:p>
        </w:tc>
      </w:tr>
      <w:tr w:rsidR="00C762A0" w:rsidRPr="00F22D50" w14:paraId="2B361F17" w14:textId="77777777" w:rsidTr="00C762A0">
        <w:tc>
          <w:tcPr>
            <w:tcW w:w="4675" w:type="dxa"/>
          </w:tcPr>
          <w:p w14:paraId="230DEE84" w14:textId="77777777" w:rsidR="00C762A0" w:rsidRPr="00070656" w:rsidRDefault="00C762A0" w:rsidP="00C762A0">
            <w:pPr>
              <w:pStyle w:val="ListParagraph"/>
              <w:suppressAutoHyphens/>
              <w:spacing w:before="240" w:after="240"/>
              <w:ind w:left="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 xml:space="preserve">7. </w:t>
            </w:r>
            <w:r w:rsidRPr="00070656">
              <w:rPr>
                <w:color w:val="2E2E2E"/>
                <w:position w:val="-10"/>
                <w:sz w:val="24"/>
              </w:rPr>
              <w:object w:dxaOrig="800" w:dyaOrig="380" w14:anchorId="4B5ABF8B">
                <v:shape id="_x0000_i1039" type="#_x0000_t75" style="width:39.75pt;height:18.75pt" o:ole="">
                  <v:imagedata r:id="rId29" o:title=""/>
                </v:shape>
                <o:OLEObject Type="Embed" ProgID="Equation.3" ShapeID="_x0000_i1039" DrawAspect="Content" ObjectID="_1530438209" r:id="rId30"/>
              </w:object>
            </w:r>
          </w:p>
        </w:tc>
        <w:tc>
          <w:tcPr>
            <w:tcW w:w="4680" w:type="dxa"/>
          </w:tcPr>
          <w:p w14:paraId="68840163" w14:textId="77777777" w:rsidR="00C762A0" w:rsidRPr="00070656" w:rsidRDefault="00C762A0" w:rsidP="00C762A0">
            <w:pPr>
              <w:suppressAutoHyphens/>
              <w:spacing w:before="240" w:after="240"/>
              <w:rPr>
                <w:color w:val="2E2E2E"/>
                <w:sz w:val="24"/>
              </w:rPr>
            </w:pPr>
            <w:r w:rsidRPr="00070656">
              <w:rPr>
                <w:color w:val="2E2E2E"/>
                <w:sz w:val="24"/>
              </w:rPr>
              <w:t>7. If alternate interior angles are congruent, then the lines are parallel.</w:t>
            </w:r>
          </w:p>
        </w:tc>
      </w:tr>
    </w:tbl>
    <w:p w14:paraId="7FCE3C71" w14:textId="52A6192A" w:rsidR="00B441CE" w:rsidRPr="00F22D50" w:rsidRDefault="00B441CE" w:rsidP="00C762A0">
      <w:pPr>
        <w:rPr>
          <w:rFonts w:cs="OpenSans"/>
          <w:color w:val="323134"/>
          <w:sz w:val="24"/>
        </w:rPr>
      </w:pPr>
      <w:bookmarkStart w:id="0" w:name="_GoBack"/>
      <w:bookmarkEnd w:id="0"/>
    </w:p>
    <w:sectPr w:rsidR="00B441CE" w:rsidRPr="00F22D50" w:rsidSect="00C762A0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C70C5" w14:textId="77777777" w:rsidR="008B14B9" w:rsidRDefault="008B14B9" w:rsidP="000858BD">
      <w:r>
        <w:separator/>
      </w:r>
    </w:p>
  </w:endnote>
  <w:endnote w:type="continuationSeparator" w:id="0">
    <w:p w14:paraId="05E7C089" w14:textId="77777777" w:rsidR="008B14B9" w:rsidRDefault="008B14B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4C69F8D8" w:rsidR="005B2A6C" w:rsidRDefault="00C762A0" w:rsidP="000858BD">
    <w:pPr>
      <w:tabs>
        <w:tab w:val="right" w:pos="7740"/>
      </w:tabs>
      <w:jc w:val="right"/>
    </w:pPr>
    <w:r w:rsidRPr="00363014">
      <w:rPr>
        <w:noProof/>
      </w:rPr>
      <w:drawing>
        <wp:anchor distT="0" distB="0" distL="114300" distR="114300" simplePos="0" relativeHeight="251659264" behindDoc="1" locked="0" layoutInCell="1" allowOverlap="1" wp14:anchorId="40C8DC51" wp14:editId="17E20CF3">
          <wp:simplePos x="0" y="0"/>
          <wp:positionH relativeFrom="column">
            <wp:posOffset>1057275</wp:posOffset>
          </wp:positionH>
          <wp:positionV relativeFrom="paragraph">
            <wp:posOffset>-320040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30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8831B" wp14:editId="03B02758">
              <wp:simplePos x="0" y="0"/>
              <wp:positionH relativeFrom="column">
                <wp:posOffset>1171575</wp:posOffset>
              </wp:positionH>
              <wp:positionV relativeFrom="paragraph">
                <wp:posOffset>-345440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531FD" w14:textId="77777777" w:rsidR="00363014" w:rsidRPr="00363014" w:rsidRDefault="00363014" w:rsidP="00363014">
                          <w:pPr>
                            <w:shd w:val="clear" w:color="auto" w:fill="FFFFFF"/>
                            <w:spacing w:after="221"/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iCs/>
                              <w:color w:val="2E2E2E"/>
                            </w:rPr>
                          </w:pPr>
                          <w:r w:rsidRPr="00363014">
                            <w:rPr>
                              <w:rFonts w:asciiTheme="majorHAnsi" w:hAnsiTheme="majorHAnsi"/>
                              <w:b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 (PART 2)</w:t>
                          </w:r>
                        </w:p>
                        <w:p w14:paraId="184B9B3E" w14:textId="77777777" w:rsidR="00363014" w:rsidRDefault="00363014" w:rsidP="003630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3883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2.25pt;margin-top:-27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" filled="f" stroked="f">
              <v:textbox>
                <w:txbxContent>
                  <w:p w14:paraId="4EB531FD" w14:textId="77777777" w:rsidR="00363014" w:rsidRPr="00363014" w:rsidRDefault="00363014" w:rsidP="00363014">
                    <w:pPr>
                      <w:shd w:val="clear" w:color="auto" w:fill="FFFFFF"/>
                      <w:spacing w:after="221"/>
                      <w:jc w:val="right"/>
                      <w:rPr>
                        <w:rFonts w:asciiTheme="majorHAnsi" w:hAnsiTheme="majorHAnsi"/>
                        <w:b/>
                        <w:bCs/>
                        <w:iCs/>
                        <w:color w:val="2E2E2E"/>
                      </w:rPr>
                    </w:pPr>
                    <w:r w:rsidRPr="00363014">
                      <w:rPr>
                        <w:rFonts w:asciiTheme="majorHAnsi" w:hAnsiTheme="majorHAnsi"/>
                        <w:b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 (PART 2)</w:t>
                    </w:r>
                  </w:p>
                  <w:p w14:paraId="184B9B3E" w14:textId="77777777" w:rsidR="00363014" w:rsidRDefault="00363014" w:rsidP="00363014"/>
                </w:txbxContent>
              </v:textbox>
            </v:shape>
          </w:pict>
        </mc:Fallback>
      </mc:AlternateContent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1C55" w14:textId="77777777" w:rsidR="008B14B9" w:rsidRDefault="008B14B9" w:rsidP="000858BD">
      <w:r>
        <w:separator/>
      </w:r>
    </w:p>
  </w:footnote>
  <w:footnote w:type="continuationSeparator" w:id="0">
    <w:p w14:paraId="3923811F" w14:textId="77777777" w:rsidR="008B14B9" w:rsidRDefault="008B14B9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0B1D"/>
    <w:multiLevelType w:val="hybridMultilevel"/>
    <w:tmpl w:val="826E1D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0E9E"/>
    <w:multiLevelType w:val="hybridMultilevel"/>
    <w:tmpl w:val="99A0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4556"/>
    <w:multiLevelType w:val="hybridMultilevel"/>
    <w:tmpl w:val="345C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70656"/>
    <w:rsid w:val="000858BD"/>
    <w:rsid w:val="0011581D"/>
    <w:rsid w:val="00213DA0"/>
    <w:rsid w:val="00363014"/>
    <w:rsid w:val="003F7D80"/>
    <w:rsid w:val="004B637C"/>
    <w:rsid w:val="00516FB0"/>
    <w:rsid w:val="005174C6"/>
    <w:rsid w:val="005B2A6C"/>
    <w:rsid w:val="00873271"/>
    <w:rsid w:val="008B14B9"/>
    <w:rsid w:val="008B2869"/>
    <w:rsid w:val="0091460A"/>
    <w:rsid w:val="009E1C52"/>
    <w:rsid w:val="00A57937"/>
    <w:rsid w:val="00A841D3"/>
    <w:rsid w:val="00AB38AC"/>
    <w:rsid w:val="00AC2386"/>
    <w:rsid w:val="00B441CE"/>
    <w:rsid w:val="00C762A0"/>
    <w:rsid w:val="00D01D4E"/>
    <w:rsid w:val="00D77E23"/>
    <w:rsid w:val="00E214AB"/>
    <w:rsid w:val="00F22D50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A9A8117C-15F5-4F10-BAC6-730618E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F22D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3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014"/>
    <w:rPr>
      <w:rFonts w:ascii="Calibri" w:hAnsi="Calibri"/>
      <w:color w:val="3E5C61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8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K20 PD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Schlasner, Jacqueline</cp:lastModifiedBy>
  <cp:revision>5</cp:revision>
  <dcterms:created xsi:type="dcterms:W3CDTF">2016-07-19T17:01:00Z</dcterms:created>
  <dcterms:modified xsi:type="dcterms:W3CDTF">2016-07-19T17:54:00Z</dcterms:modified>
</cp:coreProperties>
</file>