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BC" w:rsidRPr="00602CBC" w:rsidRDefault="00602CBC">
      <w:pPr>
        <w:rPr>
          <w:b/>
          <w:sz w:val="28"/>
          <w:szCs w:val="28"/>
        </w:rPr>
        <w:bidi w:val="0"/>
      </w:pPr>
      <w:r>
        <w:rPr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HOJA DE APUNTES PARA "DIEZ CASOS DE LA CORTE SUPREMA QUE TODO ADOLESCENTE DEBE CONOCER"</w:t>
      </w:r>
    </w:p>
    <w:p w:rsidR="00AF737F" w:rsidRDefault="00374253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Nombre_____________________________________     Hora________________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74253" w:rsidTr="00602CBC">
        <w:trPr>
          <w:trHeight w:val="440"/>
        </w:trPr>
        <w:tc>
          <w:tcPr>
            <w:tcW w:w="4675" w:type="dxa"/>
            <w:shd w:val="clear" w:color="auto" w:fill="3E5C61" w:themeFill="accent2"/>
          </w:tcPr>
          <w:p w:rsidR="00374253" w:rsidRPr="00602CBC" w:rsidRDefault="00602CBC" w:rsidP="00374253">
            <w:pPr>
              <w:rPr>
                <w:b/>
                <w:color w:val="FFFFFF" w:themeColor="background1"/>
              </w:rPr>
              <w:bidi w:val="0"/>
            </w:pPr>
            <w:r>
              <w:rPr>
                <w:color w:val="FFFFFF" w:themeColor="background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CASOS DE LA CORTE SUPREMA:</w:t>
            </w:r>
          </w:p>
        </w:tc>
        <w:tc>
          <w:tcPr>
            <w:tcW w:w="4675" w:type="dxa"/>
            <w:shd w:val="clear" w:color="auto" w:fill="3E5C61" w:themeFill="accent2"/>
          </w:tcPr>
          <w:p w:rsidR="00374253" w:rsidRPr="00602CBC" w:rsidRDefault="00602CBC" w:rsidP="00374253">
            <w:pPr>
              <w:rPr>
                <w:b/>
                <w:color w:val="FFFFFF" w:themeColor="background1"/>
              </w:rPr>
              <w:bidi w:val="0"/>
            </w:pPr>
            <w:r>
              <w:rPr>
                <w:color w:val="FFFFFF" w:themeColor="background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DECISIÓN O RESULTADO DEL CASO:</w:t>
            </w:r>
          </w:p>
        </w:tc>
      </w:tr>
      <w:tr w:rsidR="00374253" w:rsidTr="00602CBC">
        <w:trPr>
          <w:trHeight w:val="1343"/>
        </w:trPr>
        <w:tc>
          <w:tcPr>
            <w:tcW w:w="4675" w:type="dxa"/>
          </w:tcPr>
          <w:p w:rsidR="00374253" w:rsidRDefault="00374253" w:rsidP="00374253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Tinker contra el Distrito escolar de la Comunidad Independiente de Des Moines (1969)</w:t>
            </w:r>
          </w:p>
          <w:p w:rsidR="00374253" w:rsidRDefault="00374253" w:rsidP="00374253"/>
        </w:tc>
        <w:tc>
          <w:tcPr>
            <w:tcW w:w="4675" w:type="dxa"/>
          </w:tcPr>
          <w:p w:rsidR="00374253" w:rsidRDefault="00374253" w:rsidP="00374253"/>
        </w:tc>
      </w:tr>
      <w:tr w:rsidR="00374253" w:rsidTr="00602CBC">
        <w:trPr>
          <w:trHeight w:val="1343"/>
        </w:trPr>
        <w:tc>
          <w:tcPr>
            <w:tcW w:w="4675" w:type="dxa"/>
          </w:tcPr>
          <w:p w:rsidR="00374253" w:rsidRDefault="00374253" w:rsidP="00374253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Nueva Jersey contra T.L.O.</w:t>
            </w:r>
          </w:p>
          <w:p w:rsidR="00374253" w:rsidRDefault="00374253" w:rsidP="00374253"/>
          <w:p w:rsidR="00374253" w:rsidRDefault="00374253" w:rsidP="00374253"/>
          <w:p w:rsidR="00374253" w:rsidRDefault="00374253" w:rsidP="00374253"/>
        </w:tc>
        <w:tc>
          <w:tcPr>
            <w:tcW w:w="4675" w:type="dxa"/>
          </w:tcPr>
          <w:p w:rsidR="00374253" w:rsidRDefault="00374253" w:rsidP="00374253"/>
        </w:tc>
      </w:tr>
      <w:tr w:rsidR="00374253" w:rsidTr="00602CBC">
        <w:trPr>
          <w:trHeight w:val="1343"/>
        </w:trPr>
        <w:tc>
          <w:tcPr>
            <w:tcW w:w="4675" w:type="dxa"/>
          </w:tcPr>
          <w:p w:rsidR="00374253" w:rsidRDefault="00602CBC" w:rsidP="00374253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Ingraham contra Wright (1977)</w:t>
            </w:r>
          </w:p>
          <w:p w:rsidR="00374253" w:rsidRDefault="00374253" w:rsidP="00374253"/>
          <w:p w:rsidR="00374253" w:rsidRDefault="00374253" w:rsidP="00374253"/>
          <w:p w:rsidR="00374253" w:rsidRDefault="00374253" w:rsidP="00374253"/>
        </w:tc>
        <w:tc>
          <w:tcPr>
            <w:tcW w:w="4675" w:type="dxa"/>
          </w:tcPr>
          <w:p w:rsidR="00374253" w:rsidRDefault="00374253" w:rsidP="00374253"/>
        </w:tc>
      </w:tr>
      <w:tr w:rsidR="00374253" w:rsidTr="00602CBC">
        <w:trPr>
          <w:trHeight w:val="1343"/>
        </w:trPr>
        <w:tc>
          <w:tcPr>
            <w:tcW w:w="4675" w:type="dxa"/>
          </w:tcPr>
          <w:p w:rsidR="00374253" w:rsidRDefault="00602CBC" w:rsidP="00374253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Distrito Escolar Independiente de Santa Fe contra Doe (2000)</w:t>
            </w:r>
          </w:p>
          <w:p w:rsidR="00374253" w:rsidRDefault="00374253" w:rsidP="00374253"/>
          <w:p w:rsidR="00374253" w:rsidRDefault="00374253" w:rsidP="00374253"/>
          <w:p w:rsidR="00374253" w:rsidRDefault="00374253" w:rsidP="00374253"/>
        </w:tc>
        <w:tc>
          <w:tcPr>
            <w:tcW w:w="4675" w:type="dxa"/>
          </w:tcPr>
          <w:p w:rsidR="00374253" w:rsidRDefault="00374253" w:rsidP="00374253"/>
        </w:tc>
      </w:tr>
      <w:tr w:rsidR="00374253" w:rsidTr="00602CBC">
        <w:trPr>
          <w:trHeight w:val="1343"/>
        </w:trPr>
        <w:tc>
          <w:tcPr>
            <w:tcW w:w="4675" w:type="dxa"/>
          </w:tcPr>
          <w:p w:rsidR="00374253" w:rsidRDefault="00602CBC" w:rsidP="00374253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Kent contra los Estados Unidos (1966)</w:t>
            </w:r>
          </w:p>
          <w:p w:rsidR="00374253" w:rsidRDefault="00374253" w:rsidP="00374253"/>
          <w:p w:rsidR="00374253" w:rsidRDefault="00374253" w:rsidP="00374253"/>
          <w:p w:rsidR="00374253" w:rsidRDefault="00374253" w:rsidP="00374253"/>
        </w:tc>
        <w:tc>
          <w:tcPr>
            <w:tcW w:w="4675" w:type="dxa"/>
          </w:tcPr>
          <w:p w:rsidR="00374253" w:rsidRDefault="00374253" w:rsidP="00374253"/>
        </w:tc>
      </w:tr>
      <w:tr w:rsidR="00374253" w:rsidTr="00602CBC">
        <w:trPr>
          <w:trHeight w:val="1343"/>
        </w:trPr>
        <w:tc>
          <w:tcPr>
            <w:tcW w:w="4675" w:type="dxa"/>
          </w:tcPr>
          <w:p w:rsidR="00374253" w:rsidRDefault="00602CBC" w:rsidP="00374253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Distrito escolar de Hazelwood contra Kuhlmeier</w:t>
            </w:r>
          </w:p>
          <w:p w:rsidR="00374253" w:rsidRDefault="00374253" w:rsidP="00374253"/>
          <w:p w:rsidR="00374253" w:rsidRDefault="00374253" w:rsidP="00374253"/>
          <w:p w:rsidR="00374253" w:rsidRDefault="00374253" w:rsidP="00374253"/>
        </w:tc>
        <w:tc>
          <w:tcPr>
            <w:tcW w:w="4675" w:type="dxa"/>
          </w:tcPr>
          <w:p w:rsidR="00374253" w:rsidRDefault="00374253" w:rsidP="00374253"/>
        </w:tc>
      </w:tr>
      <w:tr w:rsidR="00374253" w:rsidTr="00602CBC">
        <w:trPr>
          <w:trHeight w:val="1343"/>
        </w:trPr>
        <w:tc>
          <w:tcPr>
            <w:tcW w:w="4675" w:type="dxa"/>
          </w:tcPr>
          <w:p w:rsidR="00374253" w:rsidRDefault="00602CBC" w:rsidP="00374253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Distrito escolar de Vernonia 47J contra Acton</w:t>
            </w:r>
          </w:p>
          <w:p w:rsidR="00374253" w:rsidRDefault="00374253" w:rsidP="00374253"/>
          <w:p w:rsidR="00374253" w:rsidRDefault="00374253" w:rsidP="00374253"/>
          <w:p w:rsidR="00374253" w:rsidRDefault="00374253" w:rsidP="00374253"/>
        </w:tc>
        <w:tc>
          <w:tcPr>
            <w:tcW w:w="4675" w:type="dxa"/>
          </w:tcPr>
          <w:p w:rsidR="00374253" w:rsidRDefault="00374253" w:rsidP="00374253">
            <w:pPr>
              <w:bidi w:val="0"/>
            </w:pPr>
          </w:p>
        </w:tc>
      </w:tr>
      <w:tr w:rsidR="00374253" w:rsidTr="00602CBC">
        <w:trPr>
          <w:trHeight w:val="1343"/>
        </w:trPr>
        <w:tc>
          <w:tcPr>
            <w:tcW w:w="4675" w:type="dxa"/>
          </w:tcPr>
          <w:p w:rsidR="00374253" w:rsidRDefault="00602CBC" w:rsidP="00374253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Consejo de Educación de Westside Community Schools contra Mergens</w:t>
            </w:r>
          </w:p>
          <w:p w:rsidR="00374253" w:rsidRDefault="00374253" w:rsidP="00374253"/>
          <w:p w:rsidR="00374253" w:rsidRDefault="00374253" w:rsidP="00374253"/>
        </w:tc>
        <w:tc>
          <w:tcPr>
            <w:tcW w:w="4675" w:type="dxa"/>
          </w:tcPr>
          <w:p w:rsidR="00374253" w:rsidRDefault="00374253" w:rsidP="00374253"/>
        </w:tc>
      </w:tr>
      <w:tr w:rsidR="00374253" w:rsidTr="00602CBC">
        <w:trPr>
          <w:trHeight w:val="1343"/>
        </w:trPr>
        <w:tc>
          <w:tcPr>
            <w:tcW w:w="4675" w:type="dxa"/>
          </w:tcPr>
          <w:p w:rsidR="00374253" w:rsidRDefault="00374253" w:rsidP="00374253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Grutter contra Bollinger (2003)</w:t>
            </w:r>
          </w:p>
          <w:p w:rsidR="00374253" w:rsidRDefault="00374253" w:rsidP="00374253"/>
          <w:p w:rsidR="00374253" w:rsidRDefault="00374253" w:rsidP="00374253"/>
          <w:p w:rsidR="00374253" w:rsidRDefault="00374253" w:rsidP="00374253"/>
        </w:tc>
        <w:tc>
          <w:tcPr>
            <w:tcW w:w="4675" w:type="dxa"/>
          </w:tcPr>
          <w:p w:rsidR="00374253" w:rsidRDefault="00374253" w:rsidP="00374253"/>
        </w:tc>
      </w:tr>
      <w:tr w:rsidR="00374253" w:rsidTr="00602CBC">
        <w:trPr>
          <w:trHeight w:val="1343"/>
        </w:trPr>
        <w:tc>
          <w:tcPr>
            <w:tcW w:w="4675" w:type="dxa"/>
          </w:tcPr>
          <w:p w:rsidR="00374253" w:rsidRDefault="00602CBC" w:rsidP="00374253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DeShaney contra el Departamento de Servicios Sociales del Condado de Winnebago (1989)</w:t>
            </w:r>
          </w:p>
          <w:p w:rsidR="00374253" w:rsidRDefault="00374253" w:rsidP="00374253"/>
          <w:p w:rsidR="00374253" w:rsidRDefault="00374253" w:rsidP="00374253"/>
          <w:p w:rsidR="00374253" w:rsidRDefault="00374253" w:rsidP="00374253"/>
        </w:tc>
        <w:tc>
          <w:tcPr>
            <w:tcW w:w="4675" w:type="dxa"/>
          </w:tcPr>
          <w:p w:rsidR="00374253" w:rsidRDefault="00374253" w:rsidP="00374253"/>
        </w:tc>
      </w:tr>
    </w:tbl>
    <w:p w:rsidR="00374253" w:rsidRDefault="00374253" w:rsidP="00374253"/>
    <w:p w:rsidR="00374253" w:rsidRDefault="00374253"/>
    <w:sectPr w:rsidR="003742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D6E" w:rsidRDefault="00EE3D6E" w:rsidP="00AE62FA">
      <w:pPr>
        <w:spacing w:after="0" w:line="240" w:lineRule="auto"/>
      </w:pPr>
      <w:r>
        <w:separator/>
      </w:r>
    </w:p>
  </w:endnote>
  <w:endnote w:type="continuationSeparator" w:id="0">
    <w:p w:rsidR="00EE3D6E" w:rsidRDefault="00EE3D6E" w:rsidP="00AE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CBC" w:rsidRDefault="00602CBC">
    <w:pPr>
      <w:pStyle w:val="Footer"/>
      <w:bidi w:val="0"/>
    </w:pPr>
    <w:r>
      <w:rPr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2FA5AA" wp14:editId="35F3463F">
              <wp:simplePos x="0" y="0"/>
              <wp:positionH relativeFrom="column">
                <wp:posOffset>1143000</wp:posOffset>
              </wp:positionH>
              <wp:positionV relativeFrom="paragraph">
                <wp:posOffset>-220980</wp:posOffset>
              </wp:positionV>
              <wp:extent cx="400050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lc="http://schemas.openxmlformats.org/drawingml/2006/lockedCanvas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2CBC" w:rsidRPr="00BE3DC1" w:rsidRDefault="00602CBC" w:rsidP="00602CBC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313131" w:themeColor="accent4" w:themeShade="80"/>
                            </w:rPr>
                            <w:bidi w:val="0"/>
                          </w:pPr>
                          <w:r>
                            <w:rPr>
                              <w:rFonts w:asciiTheme="majorHAnsi" w:hAnsiTheme="majorHAnsi"/>
                              <w:color w:val="313131" w:themeColor="accent4" w:themeShade="80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THE FEDERAL COURT SYSTEM</w:t>
                          </w:r>
                        </w:p>
                        <w:p w:rsidR="00602CBC" w:rsidRDefault="00602CBC" w:rsidP="00602C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2FA5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pt;margin-top:-17.4pt;width:3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" filled="f" stroked="f">
              <v:textbox>
                <w:txbxContent>
                  <w:p w:rsidR="00602CBC" w:rsidRPr="00BE3DC1" w:rsidRDefault="00602CBC" w:rsidP="00602CBC">
                    <w:pPr>
                      <w:jc w:val="right"/>
                      <w:rPr>
                        <w:rFonts w:asciiTheme="majorHAnsi" w:hAnsiTheme="majorHAnsi"/>
                        <w:b/>
                        <w:color w:val="313131" w:themeColor="accent4" w:themeShade="80"/>
                      </w:rPr>
                      <w:bidi w:val="0"/>
                    </w:pPr>
                    <w:r>
                      <w:rPr>
                        <w:rFonts w:asciiTheme="majorHAnsi" w:hAnsiTheme="majorHAnsi"/>
                        <w:color w:val="313131" w:themeColor="accent4" w:themeShade="80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THE FEDERAL COURT SYSTEM</w:t>
                    </w:r>
                  </w:p>
                  <w:p w:rsidR="00602CBC" w:rsidRDefault="00602CBC" w:rsidP="00602CBC"/>
                </w:txbxContent>
              </v:textbox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60288" behindDoc="1" locked="0" layoutInCell="1" allowOverlap="1" wp14:anchorId="70AE7798" wp14:editId="702EFF0C">
          <wp:simplePos x="0" y="0"/>
          <wp:positionH relativeFrom="column">
            <wp:posOffset>1028700</wp:posOffset>
          </wp:positionH>
          <wp:positionV relativeFrom="paragraph">
            <wp:posOffset>-172085</wp:posOffset>
          </wp:positionV>
          <wp:extent cx="4572000" cy="316865"/>
          <wp:effectExtent l="0" t="0" r="0" b="698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D6E" w:rsidRDefault="00EE3D6E" w:rsidP="00AE62FA">
      <w:pPr>
        <w:spacing w:after="0" w:line="240" w:lineRule="auto"/>
      </w:pPr>
      <w:r>
        <w:separator/>
      </w:r>
    </w:p>
  </w:footnote>
  <w:footnote w:type="continuationSeparator" w:id="0">
    <w:p w:rsidR="00EE3D6E" w:rsidRDefault="00EE3D6E" w:rsidP="00AE6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729B"/>
    <w:multiLevelType w:val="hybridMultilevel"/>
    <w:tmpl w:val="D0DAD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53"/>
    <w:rsid w:val="00374253"/>
    <w:rsid w:val="00602CBC"/>
    <w:rsid w:val="00AD78A0"/>
    <w:rsid w:val="00AE62FA"/>
    <w:rsid w:val="00AF737F"/>
    <w:rsid w:val="00E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476B5-7D39-4F3D-B72D-35C69DF2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2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2FA"/>
  </w:style>
  <w:style w:type="paragraph" w:styleId="Footer">
    <w:name w:val="footer"/>
    <w:basedOn w:val="Normal"/>
    <w:link w:val="FooterChar"/>
    <w:uiPriority w:val="99"/>
    <w:unhideWhenUsed/>
    <w:rsid w:val="00AE6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Schlasner, Jacqueline</cp:lastModifiedBy>
  <cp:revision>2</cp:revision>
  <dcterms:created xsi:type="dcterms:W3CDTF">2017-01-05T19:57:00Z</dcterms:created>
  <dcterms:modified xsi:type="dcterms:W3CDTF">2017-01-18T16:54:00Z</dcterms:modified>
</cp:coreProperties>
</file>